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tabs>
          <w:tab w:val="right" w:pos="9923"/>
        </w:tabs>
        <w:ind w:right="-7"/>
        <w:outlineLvl w:val="0"/>
        <w:rPr>
          <w:rFonts w:cs="Arial"/>
          <w:bCs/>
          <w:i/>
          <w:sz w:val="32"/>
          <w:highlight w:val="none"/>
          <w:lang w:eastAsia="ja-JP"/>
        </w:rPr>
      </w:pPr>
      <w:bookmarkStart w:id="0" w:name="_Hlk19781073"/>
      <w:bookmarkStart w:id="1" w:name="OLE_LINK4"/>
      <w:r>
        <w:rPr>
          <w:rFonts w:cs="Arial"/>
          <w:bCs/>
          <w:sz w:val="24"/>
        </w:rPr>
        <w:t>3GPP T</w:t>
      </w:r>
      <w:bookmarkStart w:id="2" w:name="_Ref452454252"/>
      <w:bookmarkEnd w:id="2"/>
      <w:r>
        <w:rPr>
          <w:rFonts w:cs="Arial"/>
          <w:bCs/>
          <w:sz w:val="24"/>
        </w:rPr>
        <w:t>SG-</w:t>
      </w:r>
      <w:r>
        <w:rPr>
          <w:rFonts w:cs="Arial"/>
          <w:bCs/>
          <w:sz w:val="24"/>
          <w:szCs w:val="24"/>
        </w:rPr>
        <w:t xml:space="preserve">RAN </w:t>
      </w:r>
      <w:r>
        <w:rPr>
          <w:rFonts w:cs="Arial"/>
          <w:sz w:val="24"/>
          <w:szCs w:val="24"/>
        </w:rPr>
        <w:t xml:space="preserve">WG3 Meeting </w:t>
      </w:r>
      <w:r>
        <w:rPr>
          <w:rFonts w:hint="default" w:cs="Arial"/>
          <w:sz w:val="24"/>
          <w:szCs w:val="24"/>
          <w:lang w:val="en-US"/>
        </w:rPr>
        <w:t>RAN3</w:t>
      </w:r>
      <w:r>
        <w:rPr>
          <w:rFonts w:cs="Arial"/>
          <w:sz w:val="24"/>
          <w:szCs w:val="24"/>
        </w:rPr>
        <w:t>#</w:t>
      </w:r>
      <w:r>
        <w:rPr>
          <w:rFonts w:hint="default" w:cs="Arial"/>
          <w:sz w:val="24"/>
          <w:szCs w:val="24"/>
          <w:lang w:val="en-US"/>
        </w:rPr>
        <w:t>121</w:t>
      </w:r>
      <w:r>
        <w:rPr>
          <w:rFonts w:cs="Arial"/>
          <w:bCs/>
          <w:sz w:val="24"/>
        </w:rPr>
        <w:tab/>
      </w:r>
      <w:r>
        <w:rPr>
          <w:rFonts w:cs="Arial"/>
          <w:bCs/>
          <w:sz w:val="24"/>
          <w:highlight w:val="none"/>
          <w:lang w:eastAsia="ja-JP"/>
        </w:rPr>
        <w:t>R3-</w:t>
      </w:r>
      <w:r>
        <w:rPr>
          <w:rFonts w:hint="eastAsia" w:cs="Arial"/>
          <w:bCs/>
          <w:sz w:val="24"/>
          <w:highlight w:val="none"/>
          <w:lang w:eastAsia="ja-JP"/>
        </w:rPr>
        <w:t>234471</w:t>
      </w:r>
    </w:p>
    <w:p>
      <w:pPr>
        <w:pStyle w:val="103"/>
        <w:outlineLvl w:val="0"/>
        <w:rPr>
          <w:rFonts w:hint="default"/>
          <w:b/>
          <w:sz w:val="24"/>
          <w:lang w:val="en-US"/>
        </w:rPr>
      </w:pPr>
      <w:bookmarkStart w:id="3" w:name="_Hlk19781143"/>
      <w:r>
        <w:rPr>
          <w:rFonts w:hint="default"/>
          <w:b/>
          <w:sz w:val="24"/>
          <w:lang w:val="en-US"/>
        </w:rPr>
        <w:t>Toulouse</w:t>
      </w:r>
      <w:r>
        <w:rPr>
          <w:b/>
          <w:sz w:val="24"/>
        </w:rPr>
        <w:t xml:space="preserve">, </w:t>
      </w:r>
      <w:r>
        <w:rPr>
          <w:rFonts w:hint="default"/>
          <w:b/>
          <w:sz w:val="24"/>
          <w:lang w:val="en-US"/>
        </w:rPr>
        <w:t>FR</w:t>
      </w:r>
      <w:r>
        <w:rPr>
          <w:b/>
          <w:sz w:val="24"/>
        </w:rPr>
        <w:t xml:space="preserve">, </w:t>
      </w:r>
      <w:r>
        <w:rPr>
          <w:rFonts w:hint="default"/>
          <w:b/>
          <w:sz w:val="24"/>
          <w:lang w:val="en-US"/>
        </w:rPr>
        <w:t xml:space="preserve">Aug 21 </w:t>
      </w:r>
      <w:r>
        <w:rPr>
          <w:b/>
          <w:sz w:val="24"/>
        </w:rPr>
        <w:t xml:space="preserve">– </w:t>
      </w:r>
      <w:r>
        <w:rPr>
          <w:rFonts w:hint="default"/>
          <w:b/>
          <w:sz w:val="24"/>
          <w:lang w:val="en-US"/>
        </w:rPr>
        <w:t>Aug 25</w:t>
      </w:r>
      <w:r>
        <w:rPr>
          <w:b/>
          <w:sz w:val="24"/>
        </w:rPr>
        <w:t xml:space="preserve"> </w:t>
      </w:r>
      <w:r>
        <w:rPr>
          <w:rFonts w:hint="default"/>
          <w:b/>
          <w:sz w:val="24"/>
          <w:lang w:val="en-US"/>
        </w:rPr>
        <w:t>2023</w:t>
      </w:r>
    </w:p>
    <w:bookmarkEnd w:id="0"/>
    <w:bookmarkEnd w:id="1"/>
    <w:bookmarkEnd w:id="3"/>
    <w:p>
      <w:pPr>
        <w:pStyle w:val="34"/>
        <w:rPr>
          <w:rFonts w:cs="Arial"/>
          <w:bCs/>
          <w:sz w:val="24"/>
          <w:lang w:eastAsia="ja-JP"/>
        </w:rPr>
      </w:pPr>
    </w:p>
    <w:p>
      <w:pPr>
        <w:pStyle w:val="34"/>
        <w:rPr>
          <w:rFonts w:cs="Arial"/>
          <w:bCs/>
          <w:sz w:val="24"/>
          <w:lang w:eastAsia="ja-JP"/>
        </w:rPr>
      </w:pPr>
    </w:p>
    <w:p>
      <w:pPr>
        <w:pStyle w:val="106"/>
        <w:outlineLvl w:val="0"/>
        <w:rPr>
          <w:rFonts w:hint="default" w:eastAsia="宋体"/>
          <w:highlight w:val="none"/>
          <w:lang w:val="en-US" w:eastAsia="zh-CN"/>
        </w:rPr>
      </w:pPr>
      <w:r>
        <w:t>Agenda Item:</w:t>
      </w:r>
      <w:r>
        <w:tab/>
      </w:r>
      <w:r>
        <w:rPr>
          <w:rFonts w:hint="eastAsia" w:eastAsia="宋体"/>
          <w:highlight w:val="none"/>
          <w:lang w:val="en-US" w:eastAsia="zh-CN"/>
        </w:rPr>
        <w:t>9.1</w:t>
      </w:r>
    </w:p>
    <w:p>
      <w:pPr>
        <w:pStyle w:val="106"/>
        <w:outlineLvl w:val="0"/>
        <w:rPr>
          <w:rFonts w:hint="default" w:eastAsia="宋体"/>
          <w:lang w:val="en-US" w:eastAsia="zh-CN"/>
        </w:rPr>
      </w:pPr>
      <w:r>
        <w:t>Source:</w:t>
      </w:r>
      <w:r>
        <w:tab/>
      </w:r>
      <w:r>
        <w:rPr>
          <w:rFonts w:hint="default"/>
          <w:lang w:val="en-US"/>
        </w:rPr>
        <w:t>ZTE, China Telecom, China Unicom, Ericsson</w:t>
      </w:r>
    </w:p>
    <w:p>
      <w:pPr>
        <w:pStyle w:val="106"/>
        <w:ind w:left="1985" w:hanging="1985"/>
        <w:outlineLvl w:val="0"/>
        <w:rPr>
          <w:rFonts w:hint="default"/>
          <w:lang w:val="en-US" w:eastAsia="ja-JP"/>
        </w:rPr>
      </w:pPr>
      <w:r>
        <w:t>Title:</w:t>
      </w:r>
      <w:r>
        <w:tab/>
      </w:r>
      <w:r>
        <w:rPr>
          <w:rFonts w:hint="default"/>
          <w:lang w:val="en-US"/>
        </w:rPr>
        <w:t xml:space="preserve">Further discussion on </w:t>
      </w:r>
      <w:r>
        <w:rPr>
          <w:rFonts w:hint="eastAsia" w:eastAsia="宋体"/>
          <w:lang w:val="en-US" w:eastAsia="zh-CN"/>
        </w:rPr>
        <w:t xml:space="preserve">the presence of </w:t>
      </w:r>
      <w:r>
        <w:rPr>
          <w:rFonts w:hint="default"/>
          <w:lang w:val="en-US"/>
        </w:rPr>
        <w:t>QoE area scope</w:t>
      </w:r>
    </w:p>
    <w:p>
      <w:pPr>
        <w:pStyle w:val="106"/>
        <w:outlineLvl w:val="0"/>
        <w:rPr>
          <w:lang w:eastAsia="ja-JP"/>
        </w:rPr>
      </w:pPr>
      <w:r>
        <w:t>Document for:</w:t>
      </w:r>
      <w:r>
        <w:tab/>
      </w:r>
      <w:r>
        <w:t xml:space="preserve">Discussions &amp; </w:t>
      </w:r>
      <w:r>
        <w:rPr>
          <w:lang w:eastAsia="ja-JP"/>
        </w:rPr>
        <w:t>Approval</w:t>
      </w:r>
    </w:p>
    <w:p>
      <w:pPr>
        <w:pStyle w:val="2"/>
        <w:rPr>
          <w:rFonts w:cs="Arial"/>
        </w:rPr>
      </w:pPr>
      <w:r>
        <w:rPr>
          <w:rFonts w:cs="Arial"/>
        </w:rPr>
        <w:t>1</w:t>
      </w:r>
      <w:r>
        <w:rPr>
          <w:rFonts w:cs="Arial"/>
        </w:rPr>
        <w:tab/>
      </w:r>
      <w:r>
        <w:rPr>
          <w:rFonts w:cs="Arial"/>
        </w:rPr>
        <w:t>Introduction</w:t>
      </w:r>
    </w:p>
    <w:p>
      <w:pPr>
        <w:pStyle w:val="107"/>
        <w:rPr>
          <w:rFonts w:hint="default"/>
          <w:lang w:val="en-US"/>
        </w:rPr>
      </w:pPr>
      <w:r>
        <w:rPr>
          <w:rFonts w:hint="default"/>
          <w:lang w:val="en-US"/>
        </w:rPr>
        <w:t xml:space="preserve">Companies have discussed the issue on QoE Area Scope IE in RAN3#120. At the end of previous meeting, the presence of the Area Scope IE of QoE has been corrected to optional in NGAP. In addition, during the CB discussion(R3-233315), more than half involved companies believed that the misalignment on the definition of the QoE Area Scope IE exists between SA5 and RAN3 specs. </w:t>
      </w:r>
    </w:p>
    <w:p>
      <w:pPr>
        <w:pStyle w:val="107"/>
        <w:rPr>
          <w:rFonts w:hint="default"/>
          <w:lang w:val="en-US"/>
        </w:rPr>
      </w:pPr>
      <w:r>
        <w:rPr>
          <w:rFonts w:hint="default"/>
          <w:lang w:val="en-US"/>
        </w:rPr>
        <w:t xml:space="preserve">In this tdoc, we will further discuss the </w:t>
      </w:r>
      <w:r>
        <w:rPr>
          <w:rFonts w:hint="eastAsia" w:eastAsia="宋体"/>
          <w:lang w:val="en-US" w:eastAsia="zh-CN"/>
        </w:rPr>
        <w:t>left issue and new detected ones</w:t>
      </w:r>
      <w:r>
        <w:rPr>
          <w:rFonts w:hint="default"/>
          <w:lang w:val="en-US"/>
        </w:rPr>
        <w:t xml:space="preserve"> on the QoE Area Scope IE.</w:t>
      </w:r>
    </w:p>
    <w:p>
      <w:pPr>
        <w:pStyle w:val="2"/>
        <w:rPr>
          <w:rFonts w:hint="default"/>
          <w:lang w:val="en-US"/>
        </w:rPr>
      </w:pPr>
      <w:r>
        <w:rPr>
          <w:rFonts w:hint="default"/>
          <w:lang w:val="en-US"/>
        </w:rPr>
        <w:t xml:space="preserve"> 2</w:t>
      </w:r>
      <w:r>
        <w:rPr>
          <w:rFonts w:cs="Arial"/>
        </w:rPr>
        <w:tab/>
      </w:r>
      <w:r>
        <w:rPr>
          <w:rFonts w:hint="default" w:cs="Arial"/>
          <w:lang w:val="en-US"/>
        </w:rPr>
        <w:t>Background</w:t>
      </w:r>
    </w:p>
    <w:p>
      <w:pPr>
        <w:pStyle w:val="107"/>
        <w:rPr>
          <w:rFonts w:hint="default" w:eastAsia="宋体"/>
          <w:strike w:val="0"/>
          <w:dstrike w:val="0"/>
          <w:lang w:val="en-US" w:eastAsia="zh-CN"/>
        </w:rPr>
      </w:pPr>
      <w:r>
        <w:rPr>
          <w:rFonts w:hint="eastAsia" w:eastAsia="宋体"/>
          <w:strike w:val="0"/>
          <w:dstrike w:val="0"/>
          <w:lang w:val="en-US" w:eastAsia="zh-CN"/>
        </w:rPr>
        <w:t xml:space="preserve">The </w:t>
      </w:r>
      <w:r>
        <w:rPr>
          <w:rFonts w:hint="default" w:eastAsia="宋体"/>
          <w:strike w:val="0"/>
          <w:dstrike w:val="0"/>
          <w:lang w:val="en-US" w:eastAsia="zh-CN"/>
        </w:rPr>
        <w:t xml:space="preserve">basic </w:t>
      </w:r>
      <w:r>
        <w:rPr>
          <w:rFonts w:hint="eastAsia" w:eastAsia="宋体"/>
          <w:strike w:val="0"/>
          <w:dstrike w:val="0"/>
          <w:lang w:val="en-US" w:eastAsia="zh-CN"/>
        </w:rPr>
        <w:t xml:space="preserve">definition of the </w:t>
      </w:r>
      <w:r>
        <w:rPr>
          <w:rFonts w:hint="default" w:eastAsia="宋体"/>
          <w:strike w:val="0"/>
          <w:dstrike w:val="0"/>
          <w:lang w:val="en-US" w:eastAsia="zh-CN"/>
        </w:rPr>
        <w:t>area scope</w:t>
      </w:r>
      <w:r>
        <w:rPr>
          <w:rFonts w:hint="eastAsia" w:eastAsia="宋体"/>
          <w:strike w:val="0"/>
          <w:dstrike w:val="0"/>
          <w:lang w:val="en-US" w:eastAsia="zh-CN"/>
        </w:rPr>
        <w:t xml:space="preserve"> </w:t>
      </w:r>
      <w:r>
        <w:rPr>
          <w:rFonts w:hint="default" w:eastAsia="宋体"/>
          <w:strike w:val="0"/>
          <w:dstrike w:val="0"/>
          <w:lang w:val="en-US" w:eastAsia="zh-CN"/>
        </w:rPr>
        <w:t xml:space="preserve">for QoE </w:t>
      </w:r>
      <w:r>
        <w:rPr>
          <w:rFonts w:hint="eastAsia" w:eastAsia="宋体"/>
          <w:strike w:val="0"/>
          <w:dstrike w:val="0"/>
          <w:lang w:val="en-US" w:eastAsia="zh-CN"/>
        </w:rPr>
        <w:t xml:space="preserve">in TS28.405 </w:t>
      </w:r>
      <w:r>
        <w:rPr>
          <w:rFonts w:hint="default" w:eastAsia="宋体"/>
          <w:strike w:val="0"/>
          <w:dstrike w:val="0"/>
          <w:lang w:val="en-US" w:eastAsia="zh-CN"/>
        </w:rPr>
        <w:t>has not been changed</w:t>
      </w:r>
      <w:r>
        <w:rPr>
          <w:rFonts w:hint="eastAsia" w:eastAsia="宋体"/>
          <w:strike w:val="0"/>
          <w:dstrike w:val="0"/>
          <w:lang w:val="en-US" w:eastAsia="zh-CN"/>
        </w:rPr>
        <w:t xml:space="preserve"> in recent years. This definition is first time </w:t>
      </w:r>
      <w:r>
        <w:rPr>
          <w:rFonts w:hint="default" w:eastAsia="宋体"/>
          <w:strike w:val="0"/>
          <w:dstrike w:val="0"/>
          <w:lang w:val="en-US" w:eastAsia="zh-CN"/>
        </w:rPr>
        <w:t xml:space="preserve">introduced </w:t>
      </w:r>
      <w:r>
        <w:rPr>
          <w:rFonts w:hint="eastAsia" w:eastAsia="宋体"/>
          <w:strike w:val="0"/>
          <w:dstrike w:val="0"/>
          <w:lang w:val="en-US" w:eastAsia="zh-CN"/>
        </w:rPr>
        <w:t xml:space="preserve">in TS28.405-040 and the up-to-date version is in TS28.405-i20. </w:t>
      </w:r>
      <w:r>
        <w:rPr>
          <w:rFonts w:hint="default" w:eastAsia="宋体"/>
          <w:strike w:val="0"/>
          <w:dstrike w:val="0"/>
          <w:lang w:val="en-US" w:eastAsia="zh-CN"/>
        </w:rPr>
        <w:t>Detail is shown below:</w:t>
      </w:r>
    </w:p>
    <w:p>
      <w:pPr>
        <w:pStyle w:val="105"/>
        <w:bidi w:val="0"/>
        <w:rPr>
          <w:rFonts w:hint="default"/>
          <w:lang w:val="en-US"/>
        </w:rPr>
      </w:pPr>
      <w:r>
        <w:rPr>
          <w:rFonts w:hint="default"/>
          <w:lang w:val="en-US"/>
        </w:rPr>
        <w:t>==== description in TS 28.405-</w:t>
      </w:r>
      <w:r>
        <w:rPr>
          <w:rFonts w:hint="eastAsia" w:eastAsia="宋体"/>
          <w:lang w:val="en-US" w:eastAsia="zh-CN"/>
        </w:rPr>
        <w:t>040</w:t>
      </w:r>
      <w:r>
        <w:rPr>
          <w:rFonts w:hint="default"/>
          <w:lang w:val="en-US"/>
        </w:rPr>
        <w:t xml:space="preserve"> ====</w:t>
      </w:r>
    </w:p>
    <w:p>
      <w:pPr>
        <w:pStyle w:val="3"/>
        <w:numPr>
          <w:ilvl w:val="0"/>
          <w:numId w:val="0"/>
        </w:numPr>
        <w:ind w:leftChars="0"/>
        <w:rPr>
          <w:lang w:val="en-US"/>
        </w:rPr>
      </w:pPr>
      <w:bookmarkStart w:id="4" w:name="_Toc530410991"/>
      <w:r>
        <w:rPr>
          <w:lang w:val="en-US"/>
        </w:rPr>
        <w:t>5.4</w:t>
      </w:r>
      <w:r>
        <w:rPr>
          <w:rFonts w:hint="default"/>
          <w:lang w:val="en-US"/>
        </w:rPr>
        <w:t xml:space="preserve"> </w:t>
      </w:r>
      <w:r>
        <w:rPr>
          <w:lang w:val="en-US"/>
        </w:rPr>
        <w:t>Area scope (CM)</w:t>
      </w:r>
      <w:bookmarkEnd w:id="4"/>
    </w:p>
    <w:p>
      <w:r>
        <w:t xml:space="preserve">The area scope parameter defines the area in terms or cells or Tracking Area/Routing Area/Location Area where the QMC shall take place. </w:t>
      </w:r>
      <w:r>
        <w:rPr>
          <w:highlight w:val="yellow"/>
        </w:rPr>
        <w:t>If the parameter is not present the QMC shall be done throughout the PLMN specified in PLMN target.</w:t>
      </w:r>
    </w:p>
    <w:p>
      <w:r>
        <w:t>The area scope parameter in UMTS is either:</w:t>
      </w:r>
    </w:p>
    <w:p>
      <w:pPr>
        <w:pStyle w:val="94"/>
      </w:pPr>
      <w:r>
        <w:t>-</w:t>
      </w:r>
      <w:r>
        <w:tab/>
      </w:r>
      <w:r>
        <w:t>List of cells, identified by CGI. Maximum 32 CGI can be defined.</w:t>
      </w:r>
    </w:p>
    <w:p>
      <w:pPr>
        <w:pStyle w:val="94"/>
      </w:pPr>
      <w:r>
        <w:t>-</w:t>
      </w:r>
      <w:r>
        <w:tab/>
      </w:r>
      <w:r>
        <w:t>List of Routing Area, identified by RAI. Maximum of 8 RAIs can be defined.</w:t>
      </w:r>
    </w:p>
    <w:p>
      <w:pPr>
        <w:pStyle w:val="94"/>
      </w:pPr>
      <w:r>
        <w:t>-</w:t>
      </w:r>
      <w:r>
        <w:tab/>
      </w:r>
      <w:r>
        <w:t>List of Location Area, identified by LAI. Maximum of 8 LAIs can be defined.</w:t>
      </w:r>
    </w:p>
    <w:p>
      <w:r>
        <w:t>The area scope parameter in LTE is either:</w:t>
      </w:r>
    </w:p>
    <w:p>
      <w:pPr>
        <w:pStyle w:val="94"/>
      </w:pPr>
      <w:r>
        <w:t>-</w:t>
      </w:r>
      <w:r>
        <w:tab/>
      </w:r>
      <w:r>
        <w:t>list of cells, identified by E-UTRAN-CGI. Maximum 32 CGI can be defined.</w:t>
      </w:r>
    </w:p>
    <w:p>
      <w:pPr>
        <w:pStyle w:val="94"/>
      </w:pPr>
      <w:bookmarkStart w:id="5" w:name="OLE_LINK10"/>
      <w:r>
        <w:t>-</w:t>
      </w:r>
      <w:r>
        <w:tab/>
      </w:r>
      <w:r>
        <w:t xml:space="preserve">List of Tracking Area, identified by TAC. Maximum of 8 TAC can be defined. </w:t>
      </w:r>
    </w:p>
    <w:bookmarkEnd w:id="5"/>
    <w:p>
      <w:pPr>
        <w:rPr>
          <w:rFonts w:hint="default"/>
          <w:lang w:val="en-US"/>
        </w:rPr>
      </w:pPr>
      <w:r>
        <w:rPr>
          <w:highlight w:val="none"/>
        </w:rPr>
        <w:t>The parameter is mandatory if area based QMC is requested.</w:t>
      </w:r>
    </w:p>
    <w:p>
      <w:pPr>
        <w:pStyle w:val="105"/>
        <w:bidi w:val="0"/>
        <w:rPr>
          <w:rFonts w:hint="default"/>
          <w:lang w:val="en-US"/>
        </w:rPr>
      </w:pPr>
      <w:r>
        <w:rPr>
          <w:rFonts w:hint="default"/>
          <w:lang w:val="en-US"/>
        </w:rPr>
        <w:t>==== description in TS 28.405-</w:t>
      </w:r>
      <w:r>
        <w:rPr>
          <w:rFonts w:hint="eastAsia" w:eastAsia="宋体"/>
          <w:lang w:val="en-US" w:eastAsia="zh-CN"/>
        </w:rPr>
        <w:t>040</w:t>
      </w:r>
      <w:r>
        <w:rPr>
          <w:rFonts w:hint="default"/>
          <w:lang w:val="en-US"/>
        </w:rPr>
        <w:t xml:space="preserve"> ====</w:t>
      </w:r>
    </w:p>
    <w:p>
      <w:pPr>
        <w:pStyle w:val="105"/>
        <w:bidi w:val="0"/>
        <w:rPr>
          <w:rFonts w:hint="default"/>
          <w:lang w:val="en-US"/>
        </w:rPr>
      </w:pPr>
    </w:p>
    <w:p>
      <w:pPr>
        <w:pStyle w:val="105"/>
        <w:bidi w:val="0"/>
        <w:rPr>
          <w:rFonts w:hint="default"/>
          <w:lang w:val="en-US"/>
        </w:rPr>
      </w:pPr>
      <w:r>
        <w:rPr>
          <w:rFonts w:hint="default"/>
          <w:lang w:val="en-US"/>
        </w:rPr>
        <w:t>==== description in TS 28.405-</w:t>
      </w:r>
      <w:r>
        <w:rPr>
          <w:rFonts w:hint="default" w:eastAsia="宋体"/>
          <w:lang w:val="en-US" w:eastAsia="zh-CN"/>
        </w:rPr>
        <w:t>i20</w:t>
      </w:r>
      <w:r>
        <w:rPr>
          <w:rFonts w:hint="default"/>
          <w:lang w:val="en-US"/>
        </w:rPr>
        <w:t xml:space="preserve"> ====</w:t>
      </w:r>
    </w:p>
    <w:p>
      <w:pPr>
        <w:pStyle w:val="3"/>
        <w:numPr>
          <w:ilvl w:val="0"/>
          <w:numId w:val="0"/>
        </w:numPr>
        <w:ind w:leftChars="0"/>
      </w:pPr>
      <w:bookmarkStart w:id="6" w:name="_Toc42758788"/>
      <w:bookmarkStart w:id="7" w:name="_Toc122426136"/>
      <w:bookmarkStart w:id="8" w:name="_Toc42759195"/>
      <w:r>
        <w:t>5.4</w:t>
      </w:r>
      <w:r>
        <w:tab/>
      </w:r>
      <w:r>
        <w:t>Area scope (CM)</w:t>
      </w:r>
      <w:bookmarkEnd w:id="6"/>
      <w:bookmarkEnd w:id="7"/>
      <w:bookmarkEnd w:id="8"/>
    </w:p>
    <w:p>
      <w:r>
        <w:t xml:space="preserve">The area scope parameter defines the area in terms or cells or Tracking Area/Routing Area/Location Area where the QMC shall take place. </w:t>
      </w:r>
      <w:r>
        <w:rPr>
          <w:highlight w:val="yellow"/>
        </w:rPr>
        <w:t>If the parameter is not present the QMC shall be done throughout the PLMN specified in PLMN target.</w:t>
      </w:r>
    </w:p>
    <w:p>
      <w:r>
        <w:t>The area scope parameter in UMTS is either:</w:t>
      </w:r>
    </w:p>
    <w:p>
      <w:pPr>
        <w:pStyle w:val="94"/>
      </w:pPr>
      <w:r>
        <w:t>-</w:t>
      </w:r>
      <w:r>
        <w:tab/>
      </w:r>
      <w:r>
        <w:t>List of cells, identified by CGI. Maximum 32 CGI can be defined.</w:t>
      </w:r>
    </w:p>
    <w:p>
      <w:pPr>
        <w:pStyle w:val="94"/>
      </w:pPr>
      <w:r>
        <w:t>-</w:t>
      </w:r>
      <w:r>
        <w:tab/>
      </w:r>
      <w:r>
        <w:t>List of Routing Area, identified by RAI. Maximum of 8 RAIs can be defined.</w:t>
      </w:r>
    </w:p>
    <w:p>
      <w:pPr>
        <w:pStyle w:val="94"/>
      </w:pPr>
      <w:r>
        <w:t>-</w:t>
      </w:r>
      <w:r>
        <w:tab/>
      </w:r>
      <w:r>
        <w:t>List of Location Area, identified by LAI. Maximum of 8 LAIs can be defined.</w:t>
      </w:r>
    </w:p>
    <w:p>
      <w:r>
        <w:t>The area scope parameter in LTE is either:</w:t>
      </w:r>
    </w:p>
    <w:p>
      <w:pPr>
        <w:pStyle w:val="94"/>
      </w:pPr>
      <w:r>
        <w:t>-</w:t>
      </w:r>
      <w:r>
        <w:tab/>
      </w:r>
      <w:r>
        <w:t>list of cells, identified by E-UTRAN-CGI. Maximum 32 CGI can be defined.</w:t>
      </w:r>
    </w:p>
    <w:p>
      <w:pPr>
        <w:pStyle w:val="94"/>
      </w:pPr>
      <w:r>
        <w:t>-</w:t>
      </w:r>
      <w:r>
        <w:tab/>
      </w:r>
      <w:r>
        <w:t xml:space="preserve">List of Tracking Area, identified by TAC. Maximum of 8 TAC can be defined. </w:t>
      </w:r>
    </w:p>
    <w:p>
      <w:pPr>
        <w:rPr>
          <w:rFonts w:ascii="Arial" w:hAnsi="Arial" w:cs="Arial"/>
          <w:sz w:val="18"/>
          <w:szCs w:val="18"/>
        </w:rPr>
      </w:pPr>
      <w:r>
        <w:rPr>
          <w:rFonts w:ascii="Arial" w:hAnsi="Arial" w:cs="Arial"/>
          <w:sz w:val="18"/>
          <w:szCs w:val="18"/>
        </w:rPr>
        <w:t>The area scope parameter in NR is either:</w:t>
      </w:r>
    </w:p>
    <w:p>
      <w:pPr>
        <w:pStyle w:val="94"/>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sz w:val="18"/>
          <w:szCs w:val="18"/>
        </w:rPr>
        <w:t>list of cells, identified by N-CGI. Maximum 32 NCGI can be defined.</w:t>
      </w:r>
    </w:p>
    <w:p>
      <w:pPr>
        <w:pStyle w:val="94"/>
      </w:pPr>
      <w:r>
        <w:rPr>
          <w:rFonts w:cs="Arial"/>
          <w:szCs w:val="18"/>
        </w:rPr>
        <w:t>-</w:t>
      </w:r>
      <w:r>
        <w:rPr>
          <w:rFonts w:cs="Arial"/>
          <w:szCs w:val="18"/>
        </w:rPr>
        <w:tab/>
      </w:r>
      <w:r>
        <w:rPr>
          <w:rFonts w:cs="Arial"/>
          <w:szCs w:val="18"/>
        </w:rPr>
        <w:t>List of Tracking Area, identified by TAC. Maximum of 8 TAC can be defined.</w:t>
      </w:r>
    </w:p>
    <w:p>
      <w:pPr>
        <w:rPr>
          <w:rFonts w:hint="default"/>
          <w:highlight w:val="none"/>
          <w:lang w:val="en-US"/>
        </w:rPr>
      </w:pPr>
      <w:r>
        <w:rPr>
          <w:highlight w:val="none"/>
        </w:rPr>
        <w:t>The parameter is mandatory if area based QMC is requested.</w:t>
      </w:r>
    </w:p>
    <w:p>
      <w:pPr>
        <w:pStyle w:val="105"/>
        <w:bidi w:val="0"/>
        <w:rPr>
          <w:rFonts w:hint="default"/>
          <w:lang w:val="en-US"/>
        </w:rPr>
      </w:pPr>
      <w:r>
        <w:rPr>
          <w:rFonts w:hint="default"/>
          <w:lang w:val="en-US"/>
        </w:rPr>
        <w:t>==== description in TS 28.405-</w:t>
      </w:r>
      <w:r>
        <w:rPr>
          <w:rFonts w:hint="default" w:eastAsia="宋体"/>
          <w:lang w:val="en-US" w:eastAsia="zh-CN"/>
        </w:rPr>
        <w:t xml:space="preserve">i20 </w:t>
      </w:r>
      <w:r>
        <w:rPr>
          <w:rFonts w:hint="default"/>
          <w:lang w:val="en-US"/>
        </w:rPr>
        <w:t>====</w:t>
      </w:r>
    </w:p>
    <w:p>
      <w:pPr>
        <w:bidi w:val="0"/>
        <w:rPr>
          <w:rFonts w:hint="default" w:ascii="Arial" w:hAnsi="Arial" w:eastAsia="宋体" w:cs="Arial"/>
          <w:strike w:val="0"/>
          <w:dstrike w:val="0"/>
          <w:lang w:val="en-US" w:eastAsia="zh-CN" w:bidi="ar-SA"/>
        </w:rPr>
      </w:pPr>
      <w:r>
        <w:rPr>
          <w:rFonts w:hint="default" w:ascii="Arial" w:hAnsi="Arial" w:eastAsia="宋体" w:cs="Arial"/>
          <w:strike w:val="0"/>
          <w:dstrike w:val="0"/>
          <w:lang w:val="en-US" w:eastAsia="zh-CN" w:bidi="ar-SA"/>
        </w:rPr>
        <w:t>It is clear that from SA5 point of view, the area scope of QoE shares the same mechanism and may not always presence in both LTE and NR.</w:t>
      </w:r>
    </w:p>
    <w:p>
      <w:pPr>
        <w:bidi w:val="0"/>
        <w:rPr>
          <w:rFonts w:hint="default" w:ascii="Arial" w:hAnsi="Arial" w:eastAsia="宋体" w:cs="Arial"/>
          <w:b/>
          <w:bCs/>
          <w:strike w:val="0"/>
          <w:dstrike w:val="0"/>
          <w:lang w:val="en-US" w:eastAsia="zh-CN" w:bidi="ar-SA"/>
        </w:rPr>
      </w:pPr>
      <w:r>
        <w:rPr>
          <w:rFonts w:hint="default" w:ascii="Arial" w:hAnsi="Arial" w:eastAsia="宋体" w:cs="Arial"/>
          <w:b/>
          <w:bCs/>
          <w:strike w:val="0"/>
          <w:dstrike w:val="0"/>
          <w:lang w:val="en-US" w:eastAsia="zh-CN" w:bidi="ar-SA"/>
        </w:rPr>
        <w:t xml:space="preserve">Observation </w:t>
      </w:r>
      <w:r>
        <w:rPr>
          <w:rFonts w:hint="eastAsia" w:ascii="Arial" w:hAnsi="Arial" w:eastAsia="宋体" w:cs="Arial"/>
          <w:b/>
          <w:bCs/>
          <w:strike w:val="0"/>
          <w:dstrike w:val="0"/>
          <w:lang w:val="en-US" w:eastAsia="zh-CN" w:bidi="ar-SA"/>
        </w:rPr>
        <w:t>1</w:t>
      </w:r>
      <w:r>
        <w:rPr>
          <w:rFonts w:hint="default" w:ascii="Arial" w:hAnsi="Arial" w:eastAsia="宋体" w:cs="Arial"/>
          <w:b/>
          <w:bCs/>
          <w:strike w:val="0"/>
          <w:dstrike w:val="0"/>
          <w:lang w:val="en-US" w:eastAsia="zh-CN" w:bidi="ar-SA"/>
        </w:rPr>
        <w:t>: Based on SA5 specification TS 28.405, the area scope of QoE shares the same mechanism and may not always presence in both LTE and NR.</w:t>
      </w:r>
    </w:p>
    <w:p>
      <w:pPr>
        <w:pStyle w:val="107"/>
        <w:bidi w:val="0"/>
        <w:rPr>
          <w:rFonts w:hint="default"/>
          <w:lang w:val="en-US"/>
        </w:rPr>
      </w:pPr>
      <w:r>
        <w:rPr>
          <w:rFonts w:hint="default"/>
          <w:lang w:val="en-US"/>
        </w:rPr>
        <w:t>Meanwhile from RAN3 point of view, the presence of the Area Scope IE in both NGAP and XnAP is Optional after RAN3#120(R3-233430). But in LTE, this IE is defined as a mandatory IE in both S1AP and X2AP which is not as same as the presence of Area Scope IE RAN3 defined for NR QoE. The tabular in TS36.413-h40 is shown below:</w:t>
      </w:r>
    </w:p>
    <w:p>
      <w:pPr>
        <w:pStyle w:val="105"/>
        <w:bidi w:val="0"/>
        <w:rPr>
          <w:rFonts w:hint="default"/>
          <w:lang w:val="en-US"/>
        </w:rPr>
      </w:pPr>
      <w:r>
        <w:rPr>
          <w:rFonts w:hint="default"/>
          <w:lang w:val="en-US"/>
        </w:rPr>
        <w:t>==== content in TS 36.413-h40 ====</w:t>
      </w:r>
    </w:p>
    <w:p>
      <w:pPr>
        <w:pStyle w:val="105"/>
        <w:bidi w:val="0"/>
        <w:rPr>
          <w:rFonts w:hint="default"/>
          <w:lang w:val="en-US"/>
        </w:rPr>
      </w:pPr>
    </w:p>
    <w:p>
      <w:pPr>
        <w:pStyle w:val="5"/>
        <w:rPr>
          <w:lang w:eastAsia="zh-CN"/>
        </w:rPr>
      </w:pPr>
      <w:bookmarkStart w:id="9" w:name="_Toc120011785"/>
      <w:bookmarkStart w:id="10" w:name="_Toc105517701"/>
      <w:bookmarkStart w:id="11" w:name="_Toc114052396"/>
      <w:bookmarkStart w:id="12" w:name="_Toc51762926"/>
      <w:bookmarkStart w:id="13" w:name="_Toc113657177"/>
      <w:bookmarkStart w:id="14" w:name="_Toc45831973"/>
      <w:bookmarkStart w:id="15" w:name="_Toc97883054"/>
      <w:bookmarkStart w:id="16" w:name="_Toc98531629"/>
      <w:bookmarkStart w:id="17" w:name="_Toc36551751"/>
      <w:bookmarkStart w:id="18" w:name="_Toc29391014"/>
      <w:bookmarkStart w:id="19" w:name="_Toc106108592"/>
      <w:bookmarkStart w:id="20" w:name="_Toc73964496"/>
      <w:bookmarkStart w:id="21" w:name="_Toc64381978"/>
      <w:bookmarkStart w:id="22" w:name="_Toc20953836"/>
      <w:bookmarkStart w:id="23" w:name="_Toc88647105"/>
      <w:r>
        <w:rPr>
          <w:rFonts w:eastAsia="Batang"/>
        </w:rPr>
        <w:t>9.2.1.128</w:t>
      </w:r>
      <w:r>
        <w:rPr>
          <w:rFonts w:eastAsia="Batang"/>
        </w:rPr>
        <w:tab/>
      </w:r>
      <w:r>
        <w:rPr>
          <w:rFonts w:eastAsia="Batang"/>
        </w:rPr>
        <w:t>UE Application layer measurement configuration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pPr>
        <w:rPr>
          <w:lang w:eastAsia="zh-CN"/>
        </w:rPr>
      </w:pPr>
      <w:r>
        <w:rPr>
          <w:lang w:eastAsia="zh-CN"/>
        </w:rPr>
        <w:t>The IE defines configuration information for the QoE Measurement Collection (QMC) function.</w:t>
      </w:r>
    </w:p>
    <w:tbl>
      <w:tblPr>
        <w:tblStyle w:val="42"/>
        <w:tblW w:w="10788"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8"/>
        <w:gridCol w:w="1080"/>
        <w:gridCol w:w="900"/>
        <w:gridCol w:w="1980"/>
        <w:gridCol w:w="2160"/>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tcPr>
          <w:p>
            <w:pPr>
              <w:pStyle w:val="61"/>
              <w:rPr>
                <w:rFonts w:cs="Arial"/>
                <w:lang w:eastAsia="ja-JP"/>
              </w:rPr>
            </w:pPr>
            <w:r>
              <w:rPr>
                <w:rFonts w:cs="Arial"/>
                <w:lang w:eastAsia="ja-JP"/>
              </w:rPr>
              <w:t>IE/Group Name</w:t>
            </w:r>
          </w:p>
        </w:tc>
        <w:tc>
          <w:tcPr>
            <w:tcW w:w="1080" w:type="dxa"/>
            <w:tcBorders>
              <w:top w:val="single" w:color="auto" w:sz="4" w:space="0"/>
              <w:left w:val="single" w:color="auto" w:sz="4" w:space="0"/>
              <w:bottom w:val="single" w:color="auto" w:sz="4" w:space="0"/>
              <w:right w:val="single" w:color="auto" w:sz="4" w:space="0"/>
            </w:tcBorders>
          </w:tcPr>
          <w:p>
            <w:pPr>
              <w:pStyle w:val="61"/>
              <w:rPr>
                <w:rFonts w:cs="Arial"/>
                <w:lang w:eastAsia="ja-JP"/>
              </w:rPr>
            </w:pPr>
            <w:r>
              <w:rPr>
                <w:rFonts w:cs="Arial"/>
                <w:lang w:eastAsia="ja-JP"/>
              </w:rPr>
              <w:t>Presence</w:t>
            </w:r>
          </w:p>
        </w:tc>
        <w:tc>
          <w:tcPr>
            <w:tcW w:w="900" w:type="dxa"/>
            <w:tcBorders>
              <w:top w:val="single" w:color="auto" w:sz="4" w:space="0"/>
              <w:left w:val="single" w:color="auto" w:sz="4" w:space="0"/>
              <w:bottom w:val="single" w:color="auto" w:sz="4" w:space="0"/>
              <w:right w:val="single" w:color="auto" w:sz="4" w:space="0"/>
            </w:tcBorders>
          </w:tcPr>
          <w:p>
            <w:pPr>
              <w:pStyle w:val="61"/>
              <w:rPr>
                <w:rFonts w:cs="Arial"/>
                <w:lang w:eastAsia="ja-JP"/>
              </w:rPr>
            </w:pPr>
            <w:r>
              <w:rPr>
                <w:rFonts w:cs="Arial"/>
                <w:lang w:eastAsia="ja-JP"/>
              </w:rPr>
              <w:t>Range</w:t>
            </w:r>
          </w:p>
        </w:tc>
        <w:tc>
          <w:tcPr>
            <w:tcW w:w="1980" w:type="dxa"/>
            <w:tcBorders>
              <w:top w:val="single" w:color="auto" w:sz="4" w:space="0"/>
              <w:left w:val="single" w:color="auto" w:sz="4" w:space="0"/>
              <w:bottom w:val="single" w:color="auto" w:sz="4" w:space="0"/>
              <w:right w:val="single" w:color="auto" w:sz="4" w:space="0"/>
            </w:tcBorders>
          </w:tcPr>
          <w:p>
            <w:pPr>
              <w:pStyle w:val="61"/>
              <w:rPr>
                <w:rFonts w:cs="Arial"/>
                <w:lang w:eastAsia="ja-JP"/>
              </w:rPr>
            </w:pPr>
            <w:r>
              <w:rPr>
                <w:rFonts w:cs="Arial"/>
                <w:lang w:eastAsia="ja-JP"/>
              </w:rPr>
              <w:t>IE type and reference</w:t>
            </w:r>
          </w:p>
        </w:tc>
        <w:tc>
          <w:tcPr>
            <w:tcW w:w="2160" w:type="dxa"/>
            <w:tcBorders>
              <w:top w:val="single" w:color="auto" w:sz="4" w:space="0"/>
              <w:left w:val="single" w:color="auto" w:sz="4" w:space="0"/>
              <w:bottom w:val="single" w:color="auto" w:sz="4" w:space="0"/>
              <w:right w:val="single" w:color="auto" w:sz="4" w:space="0"/>
            </w:tcBorders>
          </w:tcPr>
          <w:p>
            <w:pPr>
              <w:pStyle w:val="61"/>
              <w:rPr>
                <w:rFonts w:cs="Arial"/>
                <w:lang w:eastAsia="ja-JP"/>
              </w:rPr>
            </w:pPr>
            <w:r>
              <w:rPr>
                <w:rFonts w:cs="Arial"/>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61"/>
              <w:rPr>
                <w:rFonts w:cs="Arial"/>
                <w:lang w:eastAsia="ja-JP"/>
              </w:rPr>
            </w:pPr>
            <w:r>
              <w:rPr>
                <w:rFonts w:cs="Arial"/>
                <w:lang w:eastAsia="ja-JP"/>
              </w:rPr>
              <w:t>Criticality</w:t>
            </w:r>
          </w:p>
        </w:tc>
        <w:tc>
          <w:tcPr>
            <w:tcW w:w="1080" w:type="dxa"/>
            <w:tcBorders>
              <w:top w:val="single" w:color="auto" w:sz="4" w:space="0"/>
              <w:left w:val="single" w:color="auto" w:sz="4" w:space="0"/>
              <w:bottom w:val="single" w:color="auto" w:sz="4" w:space="0"/>
              <w:right w:val="single" w:color="auto" w:sz="4" w:space="0"/>
            </w:tcBorders>
          </w:tcPr>
          <w:p>
            <w:pPr>
              <w:pStyle w:val="61"/>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Container for application layer measurement configuration</w:t>
            </w:r>
          </w:p>
        </w:tc>
        <w:tc>
          <w:tcPr>
            <w:tcW w:w="108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M</w:t>
            </w:r>
          </w:p>
        </w:tc>
        <w:tc>
          <w:tcPr>
            <w:tcW w:w="900" w:type="dxa"/>
            <w:tcBorders>
              <w:top w:val="single" w:color="auto" w:sz="4" w:space="0"/>
              <w:left w:val="single" w:color="auto" w:sz="4" w:space="0"/>
              <w:bottom w:val="single" w:color="auto" w:sz="4" w:space="0"/>
              <w:right w:val="single" w:color="auto" w:sz="4" w:space="0"/>
            </w:tcBorders>
          </w:tcPr>
          <w:p>
            <w:pPr>
              <w:pStyle w:val="63"/>
              <w:rPr>
                <w:rFonts w:cs="Arial"/>
                <w:bCs/>
                <w:lang w:eastAsia="ja-JP"/>
              </w:rPr>
            </w:pPr>
          </w:p>
        </w:tc>
        <w:tc>
          <w:tcPr>
            <w:tcW w:w="198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Octet string (1..1000)</w:t>
            </w:r>
          </w:p>
        </w:tc>
        <w:tc>
          <w:tcPr>
            <w:tcW w:w="216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Indicates application layer measurement configuration, see Annex L in [43].</w:t>
            </w: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tcPr>
          <w:p>
            <w:pPr>
              <w:pStyle w:val="63"/>
              <w:rPr>
                <w:rFonts w:cs="Arial"/>
                <w:highlight w:val="yellow"/>
                <w:lang w:eastAsia="ja-JP"/>
              </w:rPr>
            </w:pPr>
            <w:r>
              <w:rPr>
                <w:rFonts w:cs="Arial"/>
                <w:highlight w:val="yellow"/>
                <w:lang w:eastAsia="ja-JP"/>
              </w:rPr>
              <w:t>CHOICE</w:t>
            </w:r>
            <w:r>
              <w:rPr>
                <w:rFonts w:cs="Arial"/>
                <w:i/>
                <w:highlight w:val="yellow"/>
                <w:lang w:eastAsia="ja-JP"/>
              </w:rPr>
              <w:t xml:space="preserve"> Area</w:t>
            </w:r>
            <w:r>
              <w:rPr>
                <w:rFonts w:cs="Arial"/>
                <w:i/>
                <w:highlight w:val="yellow"/>
                <w:lang w:eastAsia="zh-CN"/>
              </w:rPr>
              <w:t xml:space="preserve"> Scope of QMC</w:t>
            </w:r>
          </w:p>
        </w:tc>
        <w:tc>
          <w:tcPr>
            <w:tcW w:w="1080" w:type="dxa"/>
            <w:tcBorders>
              <w:top w:val="single" w:color="auto" w:sz="4" w:space="0"/>
              <w:left w:val="single" w:color="auto" w:sz="4" w:space="0"/>
              <w:bottom w:val="single" w:color="auto" w:sz="4" w:space="0"/>
              <w:right w:val="single" w:color="auto" w:sz="4" w:space="0"/>
            </w:tcBorders>
          </w:tcPr>
          <w:p>
            <w:pPr>
              <w:pStyle w:val="63"/>
              <w:rPr>
                <w:rFonts w:cs="Arial"/>
                <w:highlight w:val="yellow"/>
                <w:lang w:eastAsia="ja-JP"/>
              </w:rPr>
            </w:pPr>
            <w:r>
              <w:rPr>
                <w:rFonts w:cs="Arial"/>
                <w:highlight w:val="yellow"/>
                <w:lang w:eastAsia="zh-CN"/>
              </w:rPr>
              <w:t>M</w:t>
            </w:r>
          </w:p>
        </w:tc>
        <w:tc>
          <w:tcPr>
            <w:tcW w:w="900" w:type="dxa"/>
            <w:tcBorders>
              <w:top w:val="single" w:color="auto" w:sz="4" w:space="0"/>
              <w:left w:val="single" w:color="auto" w:sz="4" w:space="0"/>
              <w:bottom w:val="single" w:color="auto" w:sz="4" w:space="0"/>
              <w:right w:val="single" w:color="auto" w:sz="4" w:space="0"/>
            </w:tcBorders>
          </w:tcPr>
          <w:p>
            <w:pPr>
              <w:pStyle w:val="63"/>
              <w:rPr>
                <w:rFonts w:cs="Arial"/>
                <w:bCs/>
                <w:lang w:eastAsia="ja-JP"/>
              </w:rPr>
            </w:pPr>
          </w:p>
        </w:tc>
        <w:tc>
          <w:tcPr>
            <w:tcW w:w="198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tcPr>
          <w:p>
            <w:pPr>
              <w:pStyle w:val="63"/>
              <w:ind w:left="142"/>
              <w:rPr>
                <w:rFonts w:cs="Arial"/>
                <w:lang w:eastAsia="zh-CN"/>
              </w:rPr>
            </w:pPr>
            <w:r>
              <w:rPr>
                <w:rFonts w:cs="Arial"/>
                <w:lang w:eastAsia="zh-CN"/>
              </w:rPr>
              <w:t>&gt;</w:t>
            </w:r>
            <w:r>
              <w:rPr>
                <w:rFonts w:cs="Arial"/>
                <w:i/>
                <w:lang w:eastAsia="zh-CN"/>
              </w:rPr>
              <w:t>Cell based</w:t>
            </w:r>
          </w:p>
        </w:tc>
        <w:tc>
          <w:tcPr>
            <w:tcW w:w="108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3"/>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3"/>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bCs/>
                <w:lang w:eastAsia="zh-CN"/>
              </w:rPr>
            </w:pPr>
            <w:r>
              <w:rPr>
                <w:rFonts w:cs="Arial"/>
                <w:bCs/>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tcPr>
          <w:p>
            <w:pPr>
              <w:pStyle w:val="63"/>
              <w:ind w:left="283"/>
              <w:rPr>
                <w:rFonts w:cs="Arial"/>
                <w:iCs/>
                <w:lang w:eastAsia="zh-CN"/>
              </w:rPr>
            </w:pPr>
            <w:r>
              <w:rPr>
                <w:rFonts w:cs="Arial"/>
                <w:iCs/>
                <w:lang w:eastAsia="ja-JP"/>
              </w:rPr>
              <w:t>&gt;</w:t>
            </w:r>
            <w:r>
              <w:rPr>
                <w:rFonts w:cs="Arial"/>
                <w:iCs/>
                <w:lang w:eastAsia="zh-CN"/>
              </w:rPr>
              <w:t>&gt;</w:t>
            </w:r>
            <w:r>
              <w:rPr>
                <w:rFonts w:cs="Arial"/>
                <w:b/>
                <w:iCs/>
                <w:lang w:eastAsia="ja-JP"/>
              </w:rPr>
              <w:t>Cell ID List</w:t>
            </w:r>
            <w:r>
              <w:rPr>
                <w:rFonts w:cs="Arial"/>
                <w:b/>
                <w:iCs/>
                <w:lang w:eastAsia="zh-CN"/>
              </w:rPr>
              <w:t xml:space="preserve"> for QMC</w:t>
            </w:r>
          </w:p>
        </w:tc>
        <w:tc>
          <w:tcPr>
            <w:tcW w:w="108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3"/>
              <w:rPr>
                <w:rFonts w:cs="Arial"/>
                <w:bCs/>
                <w:lang w:eastAsia="ja-JP"/>
              </w:rPr>
            </w:pPr>
            <w:r>
              <w:rPr>
                <w:rFonts w:cs="Arial"/>
                <w:i/>
                <w:lang w:eastAsia="zh-CN"/>
              </w:rPr>
              <w:t xml:space="preserve">1 </w:t>
            </w:r>
            <w:r>
              <w:rPr>
                <w:rFonts w:cs="Arial"/>
                <w:i/>
                <w:lang w:eastAsia="ja-JP"/>
              </w:rPr>
              <w:t>.. &lt;maxnoofCellID</w:t>
            </w:r>
            <w:r>
              <w:rPr>
                <w:rFonts w:cs="Arial"/>
                <w:i/>
                <w:lang w:eastAsia="zh-CN"/>
              </w:rPr>
              <w:t>forQMC</w:t>
            </w:r>
            <w:r>
              <w:rPr>
                <w:rFonts w:cs="Arial"/>
                <w:i/>
                <w:lang w:eastAsia="ja-JP"/>
              </w:rPr>
              <w:t>&gt;</w:t>
            </w:r>
          </w:p>
        </w:tc>
        <w:tc>
          <w:tcPr>
            <w:tcW w:w="198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3"/>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bCs/>
                <w:lang w:eastAsia="zh-CN"/>
              </w:rPr>
            </w:pPr>
            <w:r>
              <w:rPr>
                <w:rFonts w:cs="Arial"/>
                <w:bCs/>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tcPr>
          <w:p>
            <w:pPr>
              <w:pStyle w:val="63"/>
              <w:ind w:left="425"/>
              <w:rPr>
                <w:rFonts w:cs="Arial"/>
                <w:iCs/>
                <w:lang w:eastAsia="ja-JP"/>
              </w:rPr>
            </w:pPr>
            <w:r>
              <w:rPr>
                <w:rFonts w:cs="Arial"/>
                <w:iCs/>
                <w:lang w:eastAsia="ja-JP"/>
              </w:rPr>
              <w:t>&gt;&gt;</w:t>
            </w:r>
            <w:r>
              <w:rPr>
                <w:rFonts w:cs="Arial"/>
                <w:iCs/>
                <w:lang w:eastAsia="zh-CN"/>
              </w:rPr>
              <w:t>&gt;</w:t>
            </w:r>
            <w:r>
              <w:rPr>
                <w:rFonts w:cs="Arial"/>
                <w:iCs/>
                <w:lang w:eastAsia="ja-JP"/>
              </w:rPr>
              <w:t>E-CGI</w:t>
            </w:r>
          </w:p>
        </w:tc>
        <w:tc>
          <w:tcPr>
            <w:tcW w:w="108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63"/>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9.2.1.38</w:t>
            </w:r>
          </w:p>
        </w:tc>
        <w:tc>
          <w:tcPr>
            <w:tcW w:w="2160" w:type="dxa"/>
            <w:tcBorders>
              <w:top w:val="single" w:color="auto" w:sz="4" w:space="0"/>
              <w:left w:val="single" w:color="auto" w:sz="4" w:space="0"/>
              <w:bottom w:val="single" w:color="auto" w:sz="4" w:space="0"/>
              <w:right w:val="single" w:color="auto" w:sz="4" w:space="0"/>
            </w:tcBorders>
          </w:tcPr>
          <w:p>
            <w:pPr>
              <w:pStyle w:val="63"/>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bCs/>
                <w:lang w:eastAsia="zh-CN"/>
              </w:rPr>
            </w:pPr>
            <w:r>
              <w:rPr>
                <w:rFonts w:cs="Arial"/>
                <w:bCs/>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bCs/>
                <w:lang w:eastAsia="zh-CN"/>
              </w:rPr>
            </w:pPr>
            <w:r>
              <w:rPr>
                <w:rFonts w:cs="Arial"/>
                <w:bCs/>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tcPr>
          <w:p>
            <w:pPr>
              <w:pStyle w:val="63"/>
              <w:ind w:left="142"/>
              <w:rPr>
                <w:rFonts w:cs="Arial"/>
                <w:lang w:eastAsia="zh-CN"/>
              </w:rPr>
            </w:pPr>
            <w:r>
              <w:rPr>
                <w:rFonts w:cs="Arial"/>
                <w:lang w:eastAsia="zh-CN"/>
              </w:rPr>
              <w:t>&gt;</w:t>
            </w:r>
            <w:r>
              <w:rPr>
                <w:rFonts w:cs="Arial"/>
                <w:i/>
                <w:lang w:eastAsia="zh-CN"/>
              </w:rPr>
              <w:t>TA based</w:t>
            </w:r>
          </w:p>
        </w:tc>
        <w:tc>
          <w:tcPr>
            <w:tcW w:w="108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3"/>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3"/>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bCs/>
                <w:lang w:eastAsia="zh-CN"/>
              </w:rPr>
            </w:pPr>
            <w:r>
              <w:rPr>
                <w:rFonts w:cs="Arial"/>
                <w:bCs/>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tcPr>
          <w:p>
            <w:pPr>
              <w:pStyle w:val="63"/>
              <w:ind w:left="283"/>
              <w:rPr>
                <w:rFonts w:cs="Arial"/>
                <w:iCs/>
                <w:lang w:eastAsia="zh-CN"/>
              </w:rPr>
            </w:pPr>
            <w:r>
              <w:rPr>
                <w:rFonts w:cs="Arial"/>
                <w:iCs/>
                <w:lang w:eastAsia="ja-JP"/>
              </w:rPr>
              <w:t>&gt;</w:t>
            </w:r>
            <w:r>
              <w:rPr>
                <w:rFonts w:cs="Arial"/>
                <w:iCs/>
                <w:lang w:eastAsia="zh-CN"/>
              </w:rPr>
              <w:t>&gt;</w:t>
            </w:r>
            <w:r>
              <w:rPr>
                <w:rFonts w:cs="Arial"/>
                <w:b/>
                <w:iCs/>
                <w:lang w:eastAsia="ja-JP"/>
              </w:rPr>
              <w:t>TA List</w:t>
            </w:r>
            <w:r>
              <w:rPr>
                <w:rFonts w:cs="Arial"/>
                <w:b/>
                <w:iCs/>
                <w:lang w:eastAsia="zh-CN"/>
              </w:rPr>
              <w:t xml:space="preserve"> for QMC</w:t>
            </w:r>
          </w:p>
        </w:tc>
        <w:tc>
          <w:tcPr>
            <w:tcW w:w="108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3"/>
              <w:rPr>
                <w:rFonts w:cs="Arial"/>
                <w:i/>
                <w:lang w:eastAsia="zh-CN"/>
              </w:rPr>
            </w:pPr>
            <w:r>
              <w:rPr>
                <w:rFonts w:cs="Arial"/>
                <w:i/>
                <w:lang w:eastAsia="zh-CN"/>
              </w:rPr>
              <w:t>1</w:t>
            </w:r>
            <w:r>
              <w:rPr>
                <w:rFonts w:cs="Arial"/>
                <w:i/>
                <w:lang w:eastAsia="ja-JP"/>
              </w:rPr>
              <w:t xml:space="preserve"> .. &lt;maxnoofTA</w:t>
            </w:r>
            <w:r>
              <w:rPr>
                <w:rFonts w:cs="Arial"/>
                <w:i/>
                <w:lang w:eastAsia="zh-CN"/>
              </w:rPr>
              <w:t>forQMC</w:t>
            </w:r>
            <w:r>
              <w:rPr>
                <w:rFonts w:cs="Arial"/>
                <w:i/>
                <w:lang w:eastAsia="ja-JP"/>
              </w:rPr>
              <w:t>&gt;</w:t>
            </w:r>
          </w:p>
        </w:tc>
        <w:tc>
          <w:tcPr>
            <w:tcW w:w="198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3"/>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bCs/>
                <w:lang w:eastAsia="zh-CN"/>
              </w:rPr>
            </w:pPr>
            <w:r>
              <w:rPr>
                <w:rFonts w:cs="Arial"/>
                <w:bCs/>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tcPr>
          <w:p>
            <w:pPr>
              <w:pStyle w:val="63"/>
              <w:ind w:left="425"/>
              <w:rPr>
                <w:rFonts w:cs="Arial"/>
                <w:iCs/>
                <w:lang w:eastAsia="ja-JP"/>
              </w:rPr>
            </w:pPr>
            <w:r>
              <w:rPr>
                <w:rFonts w:cs="Arial"/>
                <w:iCs/>
                <w:lang w:eastAsia="ja-JP"/>
              </w:rPr>
              <w:t>&gt;&gt;</w:t>
            </w:r>
            <w:r>
              <w:rPr>
                <w:rFonts w:cs="Arial"/>
                <w:iCs/>
                <w:lang w:eastAsia="zh-CN"/>
              </w:rPr>
              <w:t>&gt;</w:t>
            </w:r>
            <w:r>
              <w:rPr>
                <w:rFonts w:cs="Arial"/>
                <w:iCs/>
                <w:lang w:eastAsia="ja-JP"/>
              </w:rPr>
              <w:t>TAC</w:t>
            </w:r>
          </w:p>
        </w:tc>
        <w:tc>
          <w:tcPr>
            <w:tcW w:w="108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63"/>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9.2.3.7</w:t>
            </w:r>
          </w:p>
        </w:tc>
        <w:tc>
          <w:tcPr>
            <w:tcW w:w="2160" w:type="dxa"/>
            <w:tcBorders>
              <w:top w:val="single" w:color="auto" w:sz="4" w:space="0"/>
              <w:left w:val="single" w:color="auto" w:sz="4" w:space="0"/>
              <w:bottom w:val="single" w:color="auto" w:sz="4" w:space="0"/>
              <w:right w:val="single" w:color="auto" w:sz="4" w:space="0"/>
            </w:tcBorders>
          </w:tcPr>
          <w:p>
            <w:pPr>
              <w:pStyle w:val="63"/>
              <w:rPr>
                <w:rFonts w:cs="Arial"/>
                <w:bCs/>
                <w:lang w:eastAsia="zh-CN"/>
              </w:rPr>
            </w:pPr>
            <w:r>
              <w:rPr>
                <w:rFonts w:cs="Arial"/>
                <w:bCs/>
                <w:lang w:eastAsia="zh-CN"/>
              </w:rPr>
              <w:t>The TAI is derived using the current serving PLMN.</w:t>
            </w: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bCs/>
                <w:lang w:eastAsia="zh-CN"/>
              </w:rPr>
            </w:pPr>
            <w:r>
              <w:rPr>
                <w:rFonts w:cs="Arial"/>
                <w:bCs/>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bCs/>
                <w:lang w:eastAsia="zh-CN"/>
              </w:rPr>
            </w:pPr>
            <w:r>
              <w:rPr>
                <w:rFonts w:cs="Arial"/>
                <w:bCs/>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tcPr>
          <w:p>
            <w:pPr>
              <w:pStyle w:val="63"/>
              <w:ind w:left="142"/>
              <w:rPr>
                <w:rFonts w:cs="Arial"/>
                <w:lang w:eastAsia="ja-JP"/>
              </w:rPr>
            </w:pPr>
            <w:r>
              <w:rPr>
                <w:rFonts w:cs="Arial"/>
                <w:lang w:eastAsia="ja-JP"/>
              </w:rPr>
              <w:t>&gt;</w:t>
            </w:r>
            <w:r>
              <w:rPr>
                <w:rFonts w:cs="Arial"/>
                <w:i/>
                <w:lang w:eastAsia="ja-JP"/>
              </w:rPr>
              <w:t>TAI based</w:t>
            </w:r>
          </w:p>
        </w:tc>
        <w:tc>
          <w:tcPr>
            <w:tcW w:w="108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p>
        </w:tc>
        <w:tc>
          <w:tcPr>
            <w:tcW w:w="900" w:type="dxa"/>
            <w:tcBorders>
              <w:top w:val="single" w:color="auto" w:sz="4" w:space="0"/>
              <w:left w:val="single" w:color="auto" w:sz="4" w:space="0"/>
              <w:bottom w:val="single" w:color="auto" w:sz="4" w:space="0"/>
              <w:right w:val="single" w:color="auto" w:sz="4" w:space="0"/>
            </w:tcBorders>
          </w:tcPr>
          <w:p>
            <w:pPr>
              <w:pStyle w:val="63"/>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p>
        </w:tc>
        <w:tc>
          <w:tcPr>
            <w:tcW w:w="2160" w:type="dxa"/>
            <w:tcBorders>
              <w:top w:val="single" w:color="auto" w:sz="4" w:space="0"/>
              <w:left w:val="single" w:color="auto" w:sz="4" w:space="0"/>
              <w:bottom w:val="single" w:color="auto" w:sz="4" w:space="0"/>
              <w:right w:val="single" w:color="auto" w:sz="4" w:space="0"/>
            </w:tcBorders>
          </w:tcPr>
          <w:p>
            <w:pPr>
              <w:pStyle w:val="63"/>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tcPr>
          <w:p>
            <w:pPr>
              <w:pStyle w:val="63"/>
              <w:ind w:left="284"/>
              <w:rPr>
                <w:rFonts w:cs="Arial"/>
                <w:lang w:eastAsia="ja-JP"/>
              </w:rPr>
            </w:pPr>
            <w:r>
              <w:rPr>
                <w:rFonts w:cs="Arial"/>
                <w:lang w:eastAsia="ja-JP"/>
              </w:rPr>
              <w:t>&gt;&gt;</w:t>
            </w:r>
            <w:r>
              <w:rPr>
                <w:rFonts w:cs="Arial"/>
                <w:b/>
                <w:lang w:eastAsia="ja-JP"/>
              </w:rPr>
              <w:t>TAI List for QMC</w:t>
            </w:r>
          </w:p>
        </w:tc>
        <w:tc>
          <w:tcPr>
            <w:tcW w:w="108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p>
        </w:tc>
        <w:tc>
          <w:tcPr>
            <w:tcW w:w="900" w:type="dxa"/>
            <w:tcBorders>
              <w:top w:val="single" w:color="auto" w:sz="4" w:space="0"/>
              <w:left w:val="single" w:color="auto" w:sz="4" w:space="0"/>
              <w:bottom w:val="single" w:color="auto" w:sz="4" w:space="0"/>
              <w:right w:val="single" w:color="auto" w:sz="4" w:space="0"/>
            </w:tcBorders>
          </w:tcPr>
          <w:p>
            <w:pPr>
              <w:pStyle w:val="63"/>
              <w:rPr>
                <w:rFonts w:cs="Arial"/>
                <w:i/>
                <w:lang w:eastAsia="zh-CN"/>
              </w:rPr>
            </w:pPr>
            <w:r>
              <w:rPr>
                <w:rFonts w:cs="Arial"/>
                <w:i/>
                <w:lang w:eastAsia="zh-CN"/>
              </w:rPr>
              <w:t>1</w:t>
            </w:r>
            <w:r>
              <w:rPr>
                <w:rFonts w:cs="Arial"/>
                <w:i/>
                <w:lang w:eastAsia="ja-JP"/>
              </w:rPr>
              <w:t xml:space="preserve"> .. &lt;maxnoofTA</w:t>
            </w:r>
            <w:r>
              <w:rPr>
                <w:rFonts w:cs="Arial"/>
                <w:i/>
                <w:lang w:eastAsia="zh-CN"/>
              </w:rPr>
              <w:t>forQMC</w:t>
            </w:r>
            <w:r>
              <w:rPr>
                <w:rFonts w:cs="Arial"/>
                <w:i/>
                <w:lang w:eastAsia="ja-JP"/>
              </w:rPr>
              <w:t>&gt;</w:t>
            </w:r>
          </w:p>
        </w:tc>
        <w:tc>
          <w:tcPr>
            <w:tcW w:w="198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p>
        </w:tc>
        <w:tc>
          <w:tcPr>
            <w:tcW w:w="2160" w:type="dxa"/>
            <w:tcBorders>
              <w:top w:val="single" w:color="auto" w:sz="4" w:space="0"/>
              <w:left w:val="single" w:color="auto" w:sz="4" w:space="0"/>
              <w:bottom w:val="single" w:color="auto" w:sz="4" w:space="0"/>
              <w:right w:val="single" w:color="auto" w:sz="4" w:space="0"/>
            </w:tcBorders>
          </w:tcPr>
          <w:p>
            <w:pPr>
              <w:pStyle w:val="63"/>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tcPr>
          <w:p>
            <w:pPr>
              <w:pStyle w:val="63"/>
              <w:ind w:left="425"/>
              <w:rPr>
                <w:rFonts w:cs="Arial"/>
                <w:lang w:eastAsia="ja-JP"/>
              </w:rPr>
            </w:pPr>
            <w:r>
              <w:rPr>
                <w:rFonts w:cs="Arial"/>
                <w:lang w:eastAsia="ja-JP"/>
              </w:rPr>
              <w:t>&gt;&gt;&gt;TAI</w:t>
            </w:r>
          </w:p>
        </w:tc>
        <w:tc>
          <w:tcPr>
            <w:tcW w:w="108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M</w:t>
            </w:r>
          </w:p>
        </w:tc>
        <w:tc>
          <w:tcPr>
            <w:tcW w:w="900" w:type="dxa"/>
            <w:tcBorders>
              <w:top w:val="single" w:color="auto" w:sz="4" w:space="0"/>
              <w:left w:val="single" w:color="auto" w:sz="4" w:space="0"/>
              <w:bottom w:val="single" w:color="auto" w:sz="4" w:space="0"/>
              <w:right w:val="single" w:color="auto" w:sz="4" w:space="0"/>
            </w:tcBorders>
          </w:tcPr>
          <w:p>
            <w:pPr>
              <w:pStyle w:val="63"/>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9.2.3.16</w:t>
            </w:r>
          </w:p>
        </w:tc>
        <w:tc>
          <w:tcPr>
            <w:tcW w:w="2160" w:type="dxa"/>
            <w:tcBorders>
              <w:top w:val="single" w:color="auto" w:sz="4" w:space="0"/>
              <w:left w:val="single" w:color="auto" w:sz="4" w:space="0"/>
              <w:bottom w:val="single" w:color="auto" w:sz="4" w:space="0"/>
              <w:right w:val="single" w:color="auto" w:sz="4" w:space="0"/>
            </w:tcBorders>
          </w:tcPr>
          <w:p>
            <w:pPr>
              <w:pStyle w:val="63"/>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tcPr>
          <w:p>
            <w:pPr>
              <w:pStyle w:val="63"/>
              <w:ind w:left="142"/>
              <w:rPr>
                <w:rFonts w:cs="Arial"/>
                <w:lang w:eastAsia="zh-CN"/>
              </w:rPr>
            </w:pPr>
            <w:r>
              <w:rPr>
                <w:rFonts w:cs="Arial"/>
                <w:lang w:eastAsia="zh-CN"/>
              </w:rPr>
              <w:t>&gt;</w:t>
            </w:r>
            <w:r>
              <w:rPr>
                <w:rFonts w:cs="Arial"/>
                <w:i/>
                <w:lang w:eastAsia="zh-CN"/>
              </w:rPr>
              <w:t>PLMN area based</w:t>
            </w:r>
          </w:p>
        </w:tc>
        <w:tc>
          <w:tcPr>
            <w:tcW w:w="108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3"/>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3"/>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bCs/>
                <w:lang w:eastAsia="zh-CN"/>
              </w:rPr>
            </w:pPr>
            <w:r>
              <w:rPr>
                <w:rFonts w:cs="Arial"/>
                <w:bCs/>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tcPr>
          <w:p>
            <w:pPr>
              <w:pStyle w:val="63"/>
              <w:ind w:left="283"/>
              <w:rPr>
                <w:rFonts w:cs="Arial"/>
                <w:iCs/>
                <w:lang w:eastAsia="zh-CN"/>
              </w:rPr>
            </w:pPr>
            <w:r>
              <w:rPr>
                <w:rFonts w:cs="Arial"/>
                <w:iCs/>
                <w:lang w:eastAsia="ja-JP"/>
              </w:rPr>
              <w:t>&gt;</w:t>
            </w:r>
            <w:r>
              <w:rPr>
                <w:rFonts w:cs="Arial"/>
                <w:iCs/>
                <w:lang w:eastAsia="zh-CN"/>
              </w:rPr>
              <w:t>&gt;</w:t>
            </w:r>
            <w:r>
              <w:rPr>
                <w:rFonts w:cs="Arial"/>
                <w:b/>
                <w:iCs/>
                <w:lang w:eastAsia="ja-JP"/>
              </w:rPr>
              <w:t>PLMN List</w:t>
            </w:r>
            <w:r>
              <w:rPr>
                <w:rFonts w:cs="Arial"/>
                <w:b/>
                <w:iCs/>
                <w:lang w:eastAsia="zh-CN"/>
              </w:rPr>
              <w:t xml:space="preserve"> for QMC</w:t>
            </w:r>
          </w:p>
        </w:tc>
        <w:tc>
          <w:tcPr>
            <w:tcW w:w="108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3"/>
              <w:rPr>
                <w:rFonts w:cs="Arial"/>
                <w:i/>
                <w:lang w:eastAsia="zh-CN"/>
              </w:rPr>
            </w:pPr>
            <w:r>
              <w:rPr>
                <w:rFonts w:cs="Arial"/>
                <w:i/>
                <w:lang w:eastAsia="zh-CN"/>
              </w:rPr>
              <w:t>1</w:t>
            </w:r>
            <w:r>
              <w:rPr>
                <w:rFonts w:cs="Arial"/>
                <w:i/>
                <w:lang w:eastAsia="ja-JP"/>
              </w:rPr>
              <w:t xml:space="preserve"> .. &lt;maxnoofPLMNf</w:t>
            </w:r>
            <w:r>
              <w:rPr>
                <w:rFonts w:cs="Arial"/>
                <w:i/>
                <w:lang w:eastAsia="zh-CN"/>
              </w:rPr>
              <w:t>orQMC</w:t>
            </w:r>
            <w:r>
              <w:rPr>
                <w:rFonts w:cs="Arial"/>
                <w:i/>
                <w:lang w:eastAsia="ja-JP"/>
              </w:rPr>
              <w:t>&gt;</w:t>
            </w:r>
          </w:p>
        </w:tc>
        <w:tc>
          <w:tcPr>
            <w:tcW w:w="198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3"/>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bCs/>
                <w:lang w:eastAsia="zh-CN"/>
              </w:rPr>
            </w:pPr>
            <w:r>
              <w:rPr>
                <w:rFonts w:cs="Arial"/>
                <w:bCs/>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tcPr>
          <w:p>
            <w:pPr>
              <w:pStyle w:val="63"/>
              <w:ind w:left="425"/>
              <w:rPr>
                <w:rFonts w:cs="Arial"/>
                <w:iCs/>
                <w:lang w:eastAsia="ja-JP"/>
              </w:rPr>
            </w:pPr>
            <w:r>
              <w:rPr>
                <w:rFonts w:cs="Arial"/>
                <w:iCs/>
                <w:lang w:eastAsia="ja-JP"/>
              </w:rPr>
              <w:t>&gt;&gt;</w:t>
            </w:r>
            <w:r>
              <w:rPr>
                <w:rFonts w:cs="Arial"/>
                <w:iCs/>
                <w:lang w:eastAsia="zh-CN"/>
              </w:rPr>
              <w:t>&gt;</w:t>
            </w:r>
            <w:r>
              <w:rPr>
                <w:rFonts w:cs="Arial"/>
                <w:iCs/>
                <w:lang w:eastAsia="ja-JP"/>
              </w:rPr>
              <w:t>PLMN Identity</w:t>
            </w:r>
          </w:p>
        </w:tc>
        <w:tc>
          <w:tcPr>
            <w:tcW w:w="108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63"/>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9.2.3.8</w:t>
            </w:r>
          </w:p>
        </w:tc>
        <w:tc>
          <w:tcPr>
            <w:tcW w:w="2160" w:type="dxa"/>
            <w:tcBorders>
              <w:top w:val="single" w:color="auto" w:sz="4" w:space="0"/>
              <w:left w:val="single" w:color="auto" w:sz="4" w:space="0"/>
              <w:bottom w:val="single" w:color="auto" w:sz="4" w:space="0"/>
              <w:right w:val="single" w:color="auto" w:sz="4" w:space="0"/>
            </w:tcBorders>
          </w:tcPr>
          <w:p>
            <w:pPr>
              <w:pStyle w:val="63"/>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bCs/>
                <w:lang w:eastAsia="zh-CN"/>
              </w:rPr>
            </w:pPr>
            <w:r>
              <w:rPr>
                <w:rFonts w:cs="Arial"/>
                <w:bCs/>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bCs/>
                <w:lang w:eastAsia="zh-CN"/>
              </w:rPr>
            </w:pPr>
            <w:r>
              <w:rPr>
                <w:rFonts w:cs="Arial"/>
                <w:bCs/>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Service Type</w:t>
            </w:r>
          </w:p>
        </w:tc>
        <w:tc>
          <w:tcPr>
            <w:tcW w:w="108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zh-CN"/>
              </w:rPr>
              <w:t>M</w:t>
            </w:r>
          </w:p>
        </w:tc>
        <w:tc>
          <w:tcPr>
            <w:tcW w:w="900" w:type="dxa"/>
            <w:tcBorders>
              <w:top w:val="single" w:color="auto" w:sz="4" w:space="0"/>
              <w:left w:val="single" w:color="auto" w:sz="4" w:space="0"/>
              <w:bottom w:val="single" w:color="auto" w:sz="4" w:space="0"/>
              <w:right w:val="single" w:color="auto" w:sz="4" w:space="0"/>
            </w:tcBorders>
          </w:tcPr>
          <w:p>
            <w:pPr>
              <w:pStyle w:val="63"/>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ENUMERATED</w:t>
            </w:r>
          </w:p>
          <w:p>
            <w:pPr>
              <w:pStyle w:val="63"/>
              <w:rPr>
                <w:rFonts w:cs="Arial"/>
                <w:lang w:eastAsia="ja-JP"/>
              </w:rPr>
            </w:pPr>
            <w:r>
              <w:rPr>
                <w:rFonts w:cs="Arial"/>
                <w:lang w:eastAsia="zh-CN"/>
              </w:rPr>
              <w:t>(QMC for streaming service, QMC for MTSI service, ...)</w:t>
            </w:r>
          </w:p>
        </w:tc>
        <w:tc>
          <w:tcPr>
            <w:tcW w:w="2160" w:type="dxa"/>
            <w:tcBorders>
              <w:top w:val="single" w:color="auto" w:sz="4" w:space="0"/>
              <w:left w:val="single" w:color="auto" w:sz="4" w:space="0"/>
              <w:bottom w:val="single" w:color="auto" w:sz="4" w:space="0"/>
              <w:right w:val="single" w:color="auto" w:sz="4" w:space="0"/>
            </w:tcBorders>
          </w:tcPr>
          <w:p>
            <w:pPr>
              <w:pStyle w:val="63"/>
              <w:rPr>
                <w:rFonts w:cs="Arial"/>
                <w:bCs/>
                <w:lang w:eastAsia="zh-CN"/>
              </w:rPr>
            </w:pPr>
            <w:r>
              <w:rPr>
                <w:rFonts w:cs="Arial"/>
                <w:lang w:eastAsia="zh-CN"/>
              </w:rPr>
              <w:t>This IE indicates the service type of UE application layer measurements.</w:t>
            </w: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bCs/>
                <w:lang w:eastAsia="zh-CN"/>
              </w:rPr>
            </w:pPr>
            <w:r>
              <w:rPr>
                <w:rFonts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bCs/>
                <w:lang w:eastAsia="zh-CN"/>
              </w:rPr>
            </w:pPr>
            <w:r>
              <w:rPr>
                <w:rFonts w:cs="Arial"/>
                <w:lang w:eastAsia="zh-CN"/>
              </w:rPr>
              <w:t>-</w:t>
            </w:r>
          </w:p>
        </w:tc>
      </w:tr>
    </w:tbl>
    <w:p>
      <w:pPr>
        <w:rPr>
          <w:lang w:eastAsia="zh-CN"/>
        </w:rPr>
      </w:pP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9"/>
        <w:gridCol w:w="5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tcPr>
          <w:p>
            <w:pPr>
              <w:pStyle w:val="61"/>
              <w:rPr>
                <w:rFonts w:cs="Arial"/>
                <w:lang w:eastAsia="ja-JP"/>
              </w:rPr>
            </w:pPr>
            <w:r>
              <w:rPr>
                <w:rFonts w:cs="Arial"/>
                <w:lang w:eastAsia="ja-JP"/>
              </w:rPr>
              <w:t>Range bound</w:t>
            </w:r>
          </w:p>
        </w:tc>
        <w:tc>
          <w:tcPr>
            <w:tcW w:w="5987" w:type="dxa"/>
          </w:tcPr>
          <w:p>
            <w:pPr>
              <w:pStyle w:val="61"/>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tcPr>
          <w:p>
            <w:pPr>
              <w:pStyle w:val="63"/>
              <w:rPr>
                <w:rFonts w:cs="Arial"/>
                <w:lang w:eastAsia="zh-CN"/>
              </w:rPr>
            </w:pPr>
            <w:r>
              <w:rPr>
                <w:rFonts w:cs="Arial"/>
                <w:lang w:eastAsia="ja-JP"/>
              </w:rPr>
              <w:t>maxnoofCellID</w:t>
            </w:r>
            <w:r>
              <w:rPr>
                <w:rFonts w:cs="Arial"/>
                <w:lang w:eastAsia="zh-CN"/>
              </w:rPr>
              <w:t>forQMC</w:t>
            </w:r>
          </w:p>
        </w:tc>
        <w:tc>
          <w:tcPr>
            <w:tcW w:w="5987" w:type="dxa"/>
          </w:tcPr>
          <w:p>
            <w:pPr>
              <w:pStyle w:val="63"/>
              <w:rPr>
                <w:rFonts w:cs="Arial"/>
                <w:lang w:eastAsia="ja-JP"/>
              </w:rPr>
            </w:pPr>
            <w:r>
              <w:rPr>
                <w:rFonts w:cs="Arial"/>
                <w:lang w:eastAsia="ja-JP"/>
              </w:rPr>
              <w:t xml:space="preserve">Maximum no. of Cell ID subject for </w:t>
            </w:r>
            <w:r>
              <w:rPr>
                <w:rFonts w:cs="Arial"/>
                <w:lang w:eastAsia="zh-CN"/>
              </w:rPr>
              <w:t>QMC scope</w:t>
            </w:r>
            <w:r>
              <w:rPr>
                <w:rFonts w:cs="Arial"/>
                <w:lang w:eastAsia="ja-JP"/>
              </w:rPr>
              <w:t xml:space="preserve">. Value is </w:t>
            </w:r>
            <w:r>
              <w:rPr>
                <w:rFonts w:cs="Arial"/>
                <w:lang w:eastAsia="zh-CN"/>
              </w:rPr>
              <w:t>32</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tcPr>
          <w:p>
            <w:pPr>
              <w:pStyle w:val="63"/>
              <w:rPr>
                <w:rFonts w:cs="Arial"/>
                <w:lang w:eastAsia="ja-JP"/>
              </w:rPr>
            </w:pPr>
            <w:r>
              <w:rPr>
                <w:rFonts w:cs="Arial"/>
                <w:lang w:eastAsia="ja-JP"/>
              </w:rPr>
              <w:t>maxnoofTA</w:t>
            </w:r>
            <w:r>
              <w:rPr>
                <w:rFonts w:cs="Arial"/>
                <w:lang w:eastAsia="zh-CN"/>
              </w:rPr>
              <w:t>forQMC</w:t>
            </w:r>
          </w:p>
        </w:tc>
        <w:tc>
          <w:tcPr>
            <w:tcW w:w="5987" w:type="dxa"/>
          </w:tcPr>
          <w:p>
            <w:pPr>
              <w:pStyle w:val="63"/>
              <w:rPr>
                <w:rFonts w:cs="Arial"/>
                <w:lang w:eastAsia="ja-JP"/>
              </w:rPr>
            </w:pPr>
            <w:r>
              <w:rPr>
                <w:rFonts w:cs="Arial"/>
                <w:lang w:eastAsia="ja-JP"/>
              </w:rPr>
              <w:t xml:space="preserve">Maximum no. of TA subject for </w:t>
            </w:r>
            <w:r>
              <w:rPr>
                <w:rFonts w:cs="Arial"/>
                <w:lang w:eastAsia="zh-CN"/>
              </w:rPr>
              <w:t>QMC scope</w:t>
            </w:r>
            <w:r>
              <w:rPr>
                <w:rFonts w:cs="Arial"/>
                <w:lang w:eastAsia="ja-JP"/>
              </w:rPr>
              <w:t xml:space="preserve">. Value is </w:t>
            </w:r>
            <w:r>
              <w:rPr>
                <w:rFonts w:cs="Arial"/>
                <w:lang w:eastAsia="zh-CN"/>
              </w:rPr>
              <w:t>8</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tcPr>
          <w:p>
            <w:pPr>
              <w:pStyle w:val="63"/>
              <w:rPr>
                <w:rFonts w:cs="Arial"/>
                <w:lang w:eastAsia="zh-CN"/>
              </w:rPr>
            </w:pPr>
            <w:r>
              <w:rPr>
                <w:rFonts w:cs="Arial"/>
                <w:lang w:eastAsia="zh-CN"/>
              </w:rPr>
              <w:t>maxnoofPLMNforQMC</w:t>
            </w:r>
          </w:p>
        </w:tc>
        <w:tc>
          <w:tcPr>
            <w:tcW w:w="5987" w:type="dxa"/>
          </w:tcPr>
          <w:p>
            <w:pPr>
              <w:pStyle w:val="63"/>
              <w:rPr>
                <w:rFonts w:cs="Arial"/>
                <w:lang w:eastAsia="ja-JP"/>
              </w:rPr>
            </w:pPr>
            <w:r>
              <w:rPr>
                <w:rFonts w:cs="Arial"/>
                <w:lang w:eastAsia="ja-JP"/>
              </w:rPr>
              <w:t xml:space="preserve">Maximum no. of PLMNs in the PLMN list for QMC scope. Value is </w:t>
            </w:r>
            <w:r>
              <w:rPr>
                <w:rFonts w:cs="Arial"/>
                <w:lang w:eastAsia="zh-CN"/>
              </w:rPr>
              <w:t>16</w:t>
            </w:r>
            <w:r>
              <w:rPr>
                <w:rFonts w:cs="Arial"/>
                <w:lang w:eastAsia="ja-JP"/>
              </w:rPr>
              <w:t>.</w:t>
            </w:r>
          </w:p>
        </w:tc>
      </w:tr>
    </w:tbl>
    <w:p>
      <w:pPr>
        <w:pStyle w:val="107"/>
        <w:rPr>
          <w:rFonts w:hint="default"/>
          <w:lang w:val="en-US"/>
        </w:rPr>
      </w:pPr>
    </w:p>
    <w:p>
      <w:pPr>
        <w:pStyle w:val="105"/>
        <w:bidi w:val="0"/>
        <w:rPr>
          <w:rFonts w:hint="default"/>
          <w:lang w:val="en-US"/>
        </w:rPr>
      </w:pPr>
      <w:r>
        <w:rPr>
          <w:rFonts w:hint="default"/>
          <w:lang w:val="en-US"/>
        </w:rPr>
        <w:t>==== content in TS 36.413-h40 ====</w:t>
      </w:r>
    </w:p>
    <w:p>
      <w:pPr>
        <w:pStyle w:val="107"/>
        <w:rPr>
          <w:rFonts w:hint="default"/>
          <w:b/>
          <w:bCs/>
          <w:lang w:val="en-US"/>
        </w:rPr>
      </w:pPr>
      <w:r>
        <w:rPr>
          <w:rFonts w:hint="default"/>
          <w:b/>
          <w:bCs/>
          <w:lang w:val="en-US"/>
        </w:rPr>
        <w:t xml:space="preserve">Observation </w:t>
      </w:r>
      <w:r>
        <w:rPr>
          <w:rFonts w:hint="eastAsia" w:eastAsia="宋体"/>
          <w:b/>
          <w:bCs/>
          <w:lang w:val="en-US" w:eastAsia="zh-CN"/>
        </w:rPr>
        <w:t>2</w:t>
      </w:r>
      <w:r>
        <w:rPr>
          <w:rFonts w:hint="default"/>
          <w:b/>
          <w:bCs/>
          <w:lang w:val="en-US"/>
        </w:rPr>
        <w:t xml:space="preserve">: Based on RAN3 definition, the presences of the Area Scope IE in LTE QoE and NR QoE are not same. </w:t>
      </w:r>
    </w:p>
    <w:p>
      <w:pPr>
        <w:pStyle w:val="107"/>
        <w:rPr>
          <w:rFonts w:hint="default"/>
          <w:lang w:val="en-US"/>
        </w:rPr>
      </w:pPr>
      <w:r>
        <w:rPr>
          <w:rFonts w:hint="default"/>
          <w:lang w:val="en-US"/>
        </w:rPr>
        <w:t>Companies has discussed the issue on the misalignment  between RAN spec(e.g. TS36.413, TS36.423) and SA5 spec(e.g. TS28.405). The CB summary of this discussion in previous meeting can be found in R3-233315. During that CB discussion, 9 companies involved and 6 of them thought the misalignment exists and preferred to fix by using various alternatives.</w:t>
      </w:r>
    </w:p>
    <w:p>
      <w:pPr>
        <w:pStyle w:val="107"/>
        <w:rPr>
          <w:rFonts w:hint="eastAsia" w:eastAsia="宋体"/>
          <w:lang w:val="en-US" w:eastAsia="zh-CN"/>
        </w:rPr>
      </w:pPr>
      <w:r>
        <w:rPr>
          <w:rFonts w:hint="eastAsia" w:eastAsia="宋体"/>
          <w:b/>
          <w:bCs/>
          <w:lang w:val="en-US" w:eastAsia="zh-CN"/>
        </w:rPr>
        <w:t>Observation 3:</w:t>
      </w:r>
      <w:r>
        <w:rPr>
          <w:rFonts w:hint="default" w:eastAsia="宋体"/>
          <w:b/>
          <w:bCs/>
          <w:lang w:val="en-US" w:eastAsia="zh-CN"/>
        </w:rPr>
        <w:t xml:space="preserve"> Though majority companies preferred to fix the misalignment on the definition of Area Scope in LTE QoE, there is no consensus on whether/how to fix this issue after previous meeting.</w:t>
      </w:r>
    </w:p>
    <w:p>
      <w:pPr>
        <w:pStyle w:val="2"/>
        <w:rPr>
          <w:rFonts w:hint="eastAsia" w:eastAsia="宋体" w:cs="Arial"/>
          <w:lang w:val="en-US" w:eastAsia="zh-CN"/>
        </w:rPr>
      </w:pPr>
      <w:r>
        <w:rPr>
          <w:rFonts w:hint="default"/>
          <w:lang w:val="en-US"/>
        </w:rPr>
        <w:t xml:space="preserve"> 3</w:t>
      </w:r>
      <w:r>
        <w:rPr>
          <w:rFonts w:cs="Arial"/>
        </w:rPr>
        <w:tab/>
      </w:r>
      <w:r>
        <w:rPr>
          <w:rFonts w:hint="eastAsia" w:eastAsia="宋体" w:cs="Arial"/>
          <w:lang w:val="en-US" w:eastAsia="zh-CN"/>
        </w:rPr>
        <w:t>Discussion</w:t>
      </w:r>
    </w:p>
    <w:p>
      <w:pPr>
        <w:pStyle w:val="107"/>
        <w:rPr>
          <w:rFonts w:hint="default" w:eastAsia="宋体"/>
          <w:lang w:val="en-US" w:eastAsia="zh-CN"/>
        </w:rPr>
      </w:pPr>
      <w:r>
        <w:rPr>
          <w:rFonts w:hint="default" w:eastAsia="宋体"/>
          <w:lang w:val="en-US" w:eastAsia="zh-CN"/>
        </w:rPr>
        <w:t xml:space="preserve">As explained in the background section, there is no different definitions for LTE area scope or NR area scope for QoE in SA5 specification TS28.405. Meanwhile, at RAN side, the presence of the Area Scope IE in LTE QoE and NR QoE are not same. Hence,  </w:t>
      </w:r>
      <w:bookmarkStart w:id="24" w:name="OLE_LINK1"/>
      <w:r>
        <w:rPr>
          <w:rFonts w:hint="default" w:eastAsia="宋体"/>
          <w:lang w:val="en-US" w:eastAsia="zh-CN"/>
        </w:rPr>
        <w:t>it is proposed for RAN3 to believe that the misalignment exists on the definition of area scope between SA5 and RAN3 in LTE QoE.</w:t>
      </w:r>
      <w:bookmarkEnd w:id="24"/>
    </w:p>
    <w:p>
      <w:pPr>
        <w:pStyle w:val="107"/>
        <w:rPr>
          <w:rFonts w:hint="default" w:eastAsia="宋体"/>
          <w:b/>
          <w:bCs/>
          <w:lang w:val="en-US" w:eastAsia="zh-CN"/>
        </w:rPr>
      </w:pPr>
      <w:r>
        <w:rPr>
          <w:rFonts w:hint="default" w:eastAsia="宋体"/>
          <w:b/>
          <w:bCs/>
          <w:lang w:val="en-US" w:eastAsia="zh-CN"/>
        </w:rPr>
        <w:t xml:space="preserve">Proposal </w:t>
      </w:r>
      <w:r>
        <w:rPr>
          <w:rFonts w:hint="eastAsia" w:eastAsia="宋体"/>
          <w:b/>
          <w:bCs/>
          <w:lang w:val="en-US" w:eastAsia="zh-CN"/>
        </w:rPr>
        <w:t>1</w:t>
      </w:r>
      <w:r>
        <w:rPr>
          <w:rFonts w:hint="default" w:eastAsia="宋体"/>
          <w:b/>
          <w:bCs/>
          <w:lang w:val="en-US" w:eastAsia="zh-CN"/>
        </w:rPr>
        <w:t>: Misalignment exists on the definition of area scope between SA5 and RAN3 in LTE QoE.</w:t>
      </w:r>
    </w:p>
    <w:p>
      <w:pPr>
        <w:pStyle w:val="107"/>
        <w:rPr>
          <w:rFonts w:hint="default" w:eastAsia="宋体"/>
          <w:lang w:val="en-US" w:eastAsia="zh-CN"/>
        </w:rPr>
      </w:pPr>
      <w:r>
        <w:rPr>
          <w:rFonts w:hint="default" w:eastAsia="宋体"/>
          <w:lang w:val="en-US" w:eastAsia="zh-CN"/>
        </w:rPr>
        <w:t>Based on the comments from companies, various alternatives may be used to fix the detected misalignment. As example, possible corrections on the TS36.413 are listed below:</w:t>
      </w:r>
    </w:p>
    <w:p>
      <w:pPr>
        <w:pStyle w:val="107"/>
        <w:numPr>
          <w:ilvl w:val="0"/>
          <w:numId w:val="1"/>
        </w:numPr>
        <w:ind w:firstLine="284" w:firstLineChars="0"/>
        <w:rPr>
          <w:rFonts w:hint="default" w:eastAsia="宋体"/>
          <w:lang w:val="en-US" w:eastAsia="zh-CN"/>
        </w:rPr>
      </w:pPr>
      <w:r>
        <w:rPr>
          <w:rFonts w:hint="default" w:eastAsia="宋体"/>
          <w:lang w:val="en-US" w:eastAsia="zh-CN"/>
        </w:rPr>
        <w:t>Revise “PLMN area based” to “PLMN based” in the CHOICE branch of the Area Scope IE in S1AP.</w:t>
      </w:r>
    </w:p>
    <w:p>
      <w:pPr>
        <w:pStyle w:val="107"/>
        <w:numPr>
          <w:ilvl w:val="0"/>
          <w:numId w:val="1"/>
        </w:numPr>
        <w:ind w:firstLine="284" w:firstLineChars="0"/>
        <w:rPr>
          <w:rFonts w:hint="default" w:eastAsia="宋体"/>
          <w:lang w:val="en-US" w:eastAsia="zh-CN"/>
        </w:rPr>
      </w:pPr>
      <w:r>
        <w:rPr>
          <w:rFonts w:hint="default" w:eastAsia="宋体"/>
          <w:lang w:val="en-US" w:eastAsia="zh-CN"/>
        </w:rPr>
        <w:t>Add a new branch named(e.g. PLMN wide, PLMN UE based, etc) in Area Scope IE to handle the QoE configuration without area scope.</w:t>
      </w:r>
    </w:p>
    <w:p>
      <w:pPr>
        <w:pStyle w:val="107"/>
        <w:numPr>
          <w:ilvl w:val="0"/>
          <w:numId w:val="1"/>
        </w:numPr>
        <w:ind w:firstLine="284" w:firstLineChars="0"/>
        <w:rPr>
          <w:rFonts w:hint="default" w:eastAsia="宋体"/>
          <w:lang w:val="en-US" w:eastAsia="zh-CN"/>
        </w:rPr>
      </w:pPr>
      <w:r>
        <w:rPr>
          <w:rFonts w:hint="default" w:eastAsia="宋体"/>
          <w:lang w:val="en-US" w:eastAsia="zh-CN"/>
        </w:rPr>
        <w:t xml:space="preserve">Add a new IE called “PLMN target” and refer to TS28.405 in S1AP messages accordingly.  </w:t>
      </w:r>
    </w:p>
    <w:p>
      <w:pPr>
        <w:pStyle w:val="107"/>
        <w:numPr>
          <w:ilvl w:val="0"/>
          <w:numId w:val="1"/>
        </w:numPr>
        <w:ind w:firstLine="284" w:firstLineChars="0"/>
        <w:rPr>
          <w:rFonts w:hint="default" w:eastAsia="宋体"/>
          <w:lang w:val="en-US" w:eastAsia="zh-CN"/>
        </w:rPr>
      </w:pPr>
      <w:r>
        <w:rPr>
          <w:rFonts w:hint="default" w:eastAsia="宋体"/>
          <w:lang w:val="en-US" w:eastAsia="zh-CN"/>
        </w:rPr>
        <w:t>Correct the presence of Area Scope IE from mandatory to optional in S1AP.</w:t>
      </w:r>
    </w:p>
    <w:p>
      <w:pPr>
        <w:pStyle w:val="107"/>
        <w:rPr>
          <w:rFonts w:hint="default" w:eastAsia="宋体"/>
          <w:lang w:val="en-US" w:eastAsia="zh-CN"/>
        </w:rPr>
      </w:pPr>
      <w:r>
        <w:rPr>
          <w:rFonts w:hint="default" w:eastAsia="宋体"/>
          <w:lang w:val="en-US" w:eastAsia="zh-CN"/>
        </w:rPr>
        <w:t>To make the correction simple and sync up the QoE mechanism in NR and LTE, we prefer to change the presence of Area Scope IE to optional for LTE which is as same as what RAN3 has done in NR field.</w:t>
      </w:r>
    </w:p>
    <w:p>
      <w:pPr>
        <w:pStyle w:val="107"/>
        <w:rPr>
          <w:rFonts w:hint="default" w:eastAsia="宋体"/>
          <w:lang w:val="en-US" w:eastAsia="zh-CN"/>
        </w:rPr>
      </w:pPr>
      <w:r>
        <w:rPr>
          <w:rFonts w:hint="default" w:eastAsia="宋体"/>
          <w:lang w:val="en-US" w:eastAsia="zh-CN"/>
        </w:rPr>
        <w:t>Though this correction is a NBC one, considering the QoE function(either NR or LTE) has not been widely deployed in the market, we prefer to unify</w:t>
      </w:r>
      <w:r>
        <w:rPr>
          <w:rFonts w:hint="eastAsia" w:eastAsia="宋体"/>
          <w:lang w:val="en-US" w:eastAsia="zh-CN"/>
        </w:rPr>
        <w:t xml:space="preserve"> </w:t>
      </w:r>
      <w:r>
        <w:rPr>
          <w:rFonts w:hint="default" w:eastAsia="宋体"/>
          <w:lang w:val="en-US" w:eastAsia="zh-CN"/>
        </w:rPr>
        <w:t xml:space="preserve">the </w:t>
      </w:r>
      <w:r>
        <w:rPr>
          <w:rFonts w:hint="eastAsia" w:eastAsia="宋体"/>
          <w:lang w:val="en-US" w:eastAsia="zh-CN"/>
        </w:rPr>
        <w:t xml:space="preserve">Area Scope IE </w:t>
      </w:r>
      <w:r>
        <w:rPr>
          <w:rFonts w:hint="default" w:eastAsia="宋体"/>
          <w:lang w:val="en-US" w:eastAsia="zh-CN"/>
        </w:rPr>
        <w:t>in both LTE and NR to sync up the definition between SA5 and RAN3 and avoid any potential issues between LTE and NR QoE system(e.g. handover).</w:t>
      </w:r>
    </w:p>
    <w:p>
      <w:pPr>
        <w:pStyle w:val="107"/>
        <w:rPr>
          <w:rFonts w:hint="default" w:eastAsia="宋体"/>
          <w:b/>
          <w:bCs/>
          <w:lang w:val="en-US" w:eastAsia="zh-CN"/>
        </w:rPr>
      </w:pPr>
      <w:r>
        <w:rPr>
          <w:rFonts w:hint="default" w:eastAsia="宋体"/>
          <w:b/>
          <w:bCs/>
          <w:lang w:val="en-US" w:eastAsia="zh-CN"/>
        </w:rPr>
        <w:t xml:space="preserve">Proposal </w:t>
      </w:r>
      <w:r>
        <w:rPr>
          <w:rFonts w:hint="eastAsia" w:eastAsia="宋体"/>
          <w:b/>
          <w:bCs/>
          <w:lang w:val="en-US" w:eastAsia="zh-CN"/>
        </w:rPr>
        <w:t>2</w:t>
      </w:r>
      <w:r>
        <w:rPr>
          <w:rFonts w:hint="default" w:eastAsia="宋体"/>
          <w:b/>
          <w:bCs/>
          <w:lang w:val="en-US" w:eastAsia="zh-CN"/>
        </w:rPr>
        <w:t>: The presence of the Area Scope IE for LTE QoE shall be corrected to optional in both S1AP and X2AP.</w:t>
      </w:r>
    </w:p>
    <w:p>
      <w:pPr>
        <w:pStyle w:val="107"/>
        <w:rPr>
          <w:rFonts w:hint="default" w:eastAsia="宋体"/>
          <w:lang w:val="en-US" w:eastAsia="zh-CN"/>
        </w:rPr>
      </w:pPr>
      <w:r>
        <w:rPr>
          <w:rFonts w:hint="default" w:eastAsia="宋体"/>
          <w:lang w:val="en-US" w:eastAsia="zh-CN"/>
        </w:rPr>
        <w:t xml:space="preserve">Detail corrections can be found in our contributions. </w:t>
      </w:r>
    </w:p>
    <w:p>
      <w:pPr>
        <w:pStyle w:val="107"/>
        <w:rPr>
          <w:rFonts w:hint="eastAsia" w:eastAsia="宋体"/>
          <w:lang w:val="en-US" w:eastAsia="zh-CN"/>
        </w:rPr>
      </w:pPr>
      <w:r>
        <w:rPr>
          <w:rFonts w:hint="eastAsia" w:eastAsia="宋体"/>
          <w:lang w:val="en-US" w:eastAsia="zh-CN"/>
        </w:rPr>
        <w:t>In addition, based on the so far definition in TS36.423, the TAI tabular  design in QoE area scope is not match the ASN.1 description.  The r</w:t>
      </w:r>
      <w:bookmarkStart w:id="26" w:name="_GoBack"/>
      <w:bookmarkEnd w:id="26"/>
      <w:r>
        <w:rPr>
          <w:rFonts w:hint="eastAsia" w:eastAsia="宋体"/>
          <w:lang w:val="en-US" w:eastAsia="zh-CN"/>
        </w:rPr>
        <w:t>eference of some IEs in the QoE  area scope is not correct. We also fix the tabular design issue  by using the MDT mechanism. Detail can also be checked in our 423 related CRs.</w:t>
      </w:r>
    </w:p>
    <w:p>
      <w:pPr>
        <w:pStyle w:val="107"/>
        <w:rPr>
          <w:rFonts w:hint="default" w:eastAsia="宋体"/>
          <w:b/>
          <w:bCs/>
          <w:lang w:val="en-US" w:eastAsia="zh-CN"/>
        </w:rPr>
      </w:pPr>
      <w:r>
        <w:rPr>
          <w:rFonts w:hint="eastAsia" w:eastAsia="宋体"/>
          <w:b/>
          <w:bCs/>
          <w:lang w:val="en-US" w:eastAsia="zh-CN"/>
        </w:rPr>
        <w:t xml:space="preserve">Proposal 3: RAN3 shall discuss how to handle the tabular issues in the QoE Area Scope IE in TS 36.423. </w:t>
      </w:r>
    </w:p>
    <w:p>
      <w:pPr>
        <w:pStyle w:val="2"/>
        <w:rPr>
          <w:rFonts w:hint="default" w:cs="Arial"/>
          <w:lang w:val="en-US"/>
        </w:rPr>
      </w:pPr>
      <w:bookmarkStart w:id="25" w:name="OLE_LINK3"/>
      <w:r>
        <w:rPr>
          <w:rFonts w:hint="default"/>
          <w:lang w:val="en-US"/>
        </w:rPr>
        <w:t xml:space="preserve"> 3</w:t>
      </w:r>
      <w:r>
        <w:rPr>
          <w:rFonts w:cs="Arial"/>
        </w:rPr>
        <w:tab/>
      </w:r>
      <w:r>
        <w:rPr>
          <w:rFonts w:hint="default" w:cs="Arial"/>
          <w:lang w:val="en-US"/>
        </w:rPr>
        <w:t>Conclusion</w:t>
      </w:r>
    </w:p>
    <w:bookmarkEnd w:id="25"/>
    <w:p>
      <w:pPr>
        <w:bidi w:val="0"/>
        <w:rPr>
          <w:rFonts w:hint="default" w:ascii="Arial" w:hAnsi="Arial" w:eastAsia="宋体" w:cs="Arial"/>
          <w:b/>
          <w:bCs/>
          <w:strike w:val="0"/>
          <w:dstrike w:val="0"/>
          <w:lang w:val="en-US" w:eastAsia="zh-CN" w:bidi="ar-SA"/>
        </w:rPr>
      </w:pPr>
      <w:r>
        <w:rPr>
          <w:rFonts w:hint="default" w:ascii="Arial" w:hAnsi="Arial" w:eastAsia="宋体" w:cs="Arial"/>
          <w:b/>
          <w:bCs/>
          <w:strike w:val="0"/>
          <w:dstrike w:val="0"/>
          <w:lang w:val="en-US" w:eastAsia="zh-CN" w:bidi="ar-SA"/>
        </w:rPr>
        <w:t xml:space="preserve">Observation </w:t>
      </w:r>
      <w:r>
        <w:rPr>
          <w:rFonts w:hint="eastAsia" w:ascii="Arial" w:hAnsi="Arial" w:eastAsia="宋体" w:cs="Arial"/>
          <w:b/>
          <w:bCs/>
          <w:strike w:val="0"/>
          <w:dstrike w:val="0"/>
          <w:lang w:val="en-US" w:eastAsia="zh-CN" w:bidi="ar-SA"/>
        </w:rPr>
        <w:t>1</w:t>
      </w:r>
      <w:r>
        <w:rPr>
          <w:rFonts w:hint="default" w:ascii="Arial" w:hAnsi="Arial" w:eastAsia="宋体" w:cs="Arial"/>
          <w:b/>
          <w:bCs/>
          <w:strike w:val="0"/>
          <w:dstrike w:val="0"/>
          <w:lang w:val="en-US" w:eastAsia="zh-CN" w:bidi="ar-SA"/>
        </w:rPr>
        <w:t>: Based on SA5 specification TS 28.405, the area scope of QoE shares the same mechanism and may not always presence in both LTE and NR.</w:t>
      </w:r>
    </w:p>
    <w:p>
      <w:pPr>
        <w:pStyle w:val="107"/>
        <w:rPr>
          <w:rFonts w:hint="default"/>
          <w:b/>
          <w:bCs/>
          <w:lang w:val="en-US"/>
        </w:rPr>
      </w:pPr>
      <w:r>
        <w:rPr>
          <w:rFonts w:hint="default"/>
          <w:b/>
          <w:bCs/>
          <w:lang w:val="en-US"/>
        </w:rPr>
        <w:t xml:space="preserve">Observation </w:t>
      </w:r>
      <w:r>
        <w:rPr>
          <w:rFonts w:hint="eastAsia" w:eastAsia="宋体"/>
          <w:b/>
          <w:bCs/>
          <w:lang w:val="en-US" w:eastAsia="zh-CN"/>
        </w:rPr>
        <w:t>2</w:t>
      </w:r>
      <w:r>
        <w:rPr>
          <w:rFonts w:hint="default"/>
          <w:b/>
          <w:bCs/>
          <w:lang w:val="en-US"/>
        </w:rPr>
        <w:t xml:space="preserve">: Based on RAN3 definition, the presences of the Area Scope IE in LTE QoE and NR QoE are not same. </w:t>
      </w:r>
    </w:p>
    <w:p>
      <w:pPr>
        <w:pStyle w:val="107"/>
        <w:rPr>
          <w:rFonts w:hint="eastAsia" w:eastAsia="宋体"/>
          <w:lang w:val="en-US" w:eastAsia="zh-CN"/>
        </w:rPr>
      </w:pPr>
      <w:r>
        <w:rPr>
          <w:rFonts w:hint="eastAsia" w:eastAsia="宋体"/>
          <w:b/>
          <w:bCs/>
          <w:lang w:val="en-US" w:eastAsia="zh-CN"/>
        </w:rPr>
        <w:t>Observation 3:</w:t>
      </w:r>
      <w:r>
        <w:rPr>
          <w:rFonts w:hint="default" w:eastAsia="宋体"/>
          <w:b/>
          <w:bCs/>
          <w:lang w:val="en-US" w:eastAsia="zh-CN"/>
        </w:rPr>
        <w:t xml:space="preserve"> Though majority companies preferred to fix the misalignment on the definition of Area Scope in LTE QoE, there is no consensus on whether/how to fix this issue after previous meeting.</w:t>
      </w:r>
    </w:p>
    <w:p>
      <w:pPr>
        <w:pStyle w:val="107"/>
        <w:rPr>
          <w:rFonts w:hint="default" w:eastAsia="宋体"/>
          <w:b/>
          <w:bCs/>
          <w:lang w:val="en-US" w:eastAsia="zh-CN"/>
        </w:rPr>
      </w:pPr>
      <w:r>
        <w:rPr>
          <w:rFonts w:hint="default" w:eastAsia="宋体"/>
          <w:b/>
          <w:bCs/>
          <w:lang w:val="en-US" w:eastAsia="zh-CN"/>
        </w:rPr>
        <w:t xml:space="preserve">Proposal </w:t>
      </w:r>
      <w:r>
        <w:rPr>
          <w:rFonts w:hint="eastAsia" w:eastAsia="宋体"/>
          <w:b/>
          <w:bCs/>
          <w:lang w:val="en-US" w:eastAsia="zh-CN"/>
        </w:rPr>
        <w:t>1</w:t>
      </w:r>
      <w:r>
        <w:rPr>
          <w:rFonts w:hint="default" w:eastAsia="宋体"/>
          <w:b/>
          <w:bCs/>
          <w:lang w:val="en-US" w:eastAsia="zh-CN"/>
        </w:rPr>
        <w:t>: Misalignment exists on the definition of area scope between SA5 and RAN3 in LTE QoE.</w:t>
      </w:r>
    </w:p>
    <w:p>
      <w:pPr>
        <w:pStyle w:val="107"/>
        <w:rPr>
          <w:rFonts w:hint="default" w:eastAsia="宋体"/>
          <w:b/>
          <w:bCs/>
          <w:lang w:val="en-US" w:eastAsia="zh-CN"/>
        </w:rPr>
      </w:pPr>
      <w:r>
        <w:rPr>
          <w:rFonts w:hint="default" w:eastAsia="宋体"/>
          <w:b/>
          <w:bCs/>
          <w:lang w:val="en-US" w:eastAsia="zh-CN"/>
        </w:rPr>
        <w:t xml:space="preserve">Proposal </w:t>
      </w:r>
      <w:r>
        <w:rPr>
          <w:rFonts w:hint="eastAsia" w:eastAsia="宋体"/>
          <w:b/>
          <w:bCs/>
          <w:lang w:val="en-US" w:eastAsia="zh-CN"/>
        </w:rPr>
        <w:t>2</w:t>
      </w:r>
      <w:r>
        <w:rPr>
          <w:rFonts w:hint="default" w:eastAsia="宋体"/>
          <w:b/>
          <w:bCs/>
          <w:lang w:val="en-US" w:eastAsia="zh-CN"/>
        </w:rPr>
        <w:t>: The presence of the Area Scope IE for LTE QoE shall be corrected to optional in both S1AP and X2AP.</w:t>
      </w:r>
    </w:p>
    <w:p>
      <w:pPr>
        <w:pStyle w:val="107"/>
        <w:rPr>
          <w:rFonts w:hint="default" w:eastAsia="宋体"/>
          <w:b/>
          <w:bCs/>
          <w:lang w:val="en-US" w:eastAsia="zh-CN"/>
        </w:rPr>
      </w:pPr>
      <w:r>
        <w:rPr>
          <w:rFonts w:hint="eastAsia" w:eastAsia="宋体"/>
          <w:b/>
          <w:bCs/>
          <w:lang w:val="en-US" w:eastAsia="zh-CN"/>
        </w:rPr>
        <w:t xml:space="preserve">Proposal 3: RAN3 shall discuss how to handle the tabular issues in the QoE Area Scope IE in TS 36.423. </w:t>
      </w:r>
    </w:p>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4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F1520F"/>
    <w:multiLevelType w:val="singleLevel"/>
    <w:tmpl w:val="22F1520F"/>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5319E"/>
    <w:rsid w:val="00353346"/>
    <w:rsid w:val="00376EE0"/>
    <w:rsid w:val="00392B19"/>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92D74"/>
    <w:rsid w:val="00592FB9"/>
    <w:rsid w:val="005C4D70"/>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13222"/>
    <w:rsid w:val="00916443"/>
    <w:rsid w:val="00917C9F"/>
    <w:rsid w:val="00936638"/>
    <w:rsid w:val="00955FBC"/>
    <w:rsid w:val="00972525"/>
    <w:rsid w:val="009777D9"/>
    <w:rsid w:val="009824D9"/>
    <w:rsid w:val="00991B88"/>
    <w:rsid w:val="00995252"/>
    <w:rsid w:val="00996397"/>
    <w:rsid w:val="009A1081"/>
    <w:rsid w:val="009A579D"/>
    <w:rsid w:val="009E0762"/>
    <w:rsid w:val="009E3297"/>
    <w:rsid w:val="009F251D"/>
    <w:rsid w:val="009F734F"/>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35F2"/>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A55A0"/>
    <w:rsid w:val="00FB6386"/>
    <w:rsid w:val="00FB7DE3"/>
    <w:rsid w:val="00FE006E"/>
    <w:rsid w:val="00FE57B3"/>
    <w:rsid w:val="012E3609"/>
    <w:rsid w:val="01653004"/>
    <w:rsid w:val="020D7E03"/>
    <w:rsid w:val="034F5AF3"/>
    <w:rsid w:val="049A7BAD"/>
    <w:rsid w:val="04F94A80"/>
    <w:rsid w:val="05122903"/>
    <w:rsid w:val="055F46CE"/>
    <w:rsid w:val="06152078"/>
    <w:rsid w:val="063759BB"/>
    <w:rsid w:val="065A0D6E"/>
    <w:rsid w:val="07F2385B"/>
    <w:rsid w:val="088B03FC"/>
    <w:rsid w:val="093D2612"/>
    <w:rsid w:val="0AC125B6"/>
    <w:rsid w:val="0AE746A6"/>
    <w:rsid w:val="0B341F9C"/>
    <w:rsid w:val="0CCB44F5"/>
    <w:rsid w:val="0D716D9F"/>
    <w:rsid w:val="0EA327A8"/>
    <w:rsid w:val="0EBA0999"/>
    <w:rsid w:val="0F08776F"/>
    <w:rsid w:val="0F3E6073"/>
    <w:rsid w:val="107412C9"/>
    <w:rsid w:val="11455009"/>
    <w:rsid w:val="1209234A"/>
    <w:rsid w:val="12C64EA6"/>
    <w:rsid w:val="134F24D4"/>
    <w:rsid w:val="13B550CC"/>
    <w:rsid w:val="14C60373"/>
    <w:rsid w:val="14CA2CA9"/>
    <w:rsid w:val="15104C0D"/>
    <w:rsid w:val="15E34DA4"/>
    <w:rsid w:val="1640799E"/>
    <w:rsid w:val="16BE63F9"/>
    <w:rsid w:val="17470A1F"/>
    <w:rsid w:val="177669FC"/>
    <w:rsid w:val="18140037"/>
    <w:rsid w:val="18337079"/>
    <w:rsid w:val="19590C29"/>
    <w:rsid w:val="1A640B7F"/>
    <w:rsid w:val="1B28619E"/>
    <w:rsid w:val="1B49107A"/>
    <w:rsid w:val="1C905B32"/>
    <w:rsid w:val="1D60134A"/>
    <w:rsid w:val="1D873A05"/>
    <w:rsid w:val="1DD36DDC"/>
    <w:rsid w:val="1E2E17EB"/>
    <w:rsid w:val="1E7239B2"/>
    <w:rsid w:val="1E90698D"/>
    <w:rsid w:val="20A17B66"/>
    <w:rsid w:val="21B31EE0"/>
    <w:rsid w:val="21BB59A3"/>
    <w:rsid w:val="24247929"/>
    <w:rsid w:val="24966D7D"/>
    <w:rsid w:val="249A60C5"/>
    <w:rsid w:val="25F35C92"/>
    <w:rsid w:val="28465834"/>
    <w:rsid w:val="284F75B3"/>
    <w:rsid w:val="29634717"/>
    <w:rsid w:val="29687A2D"/>
    <w:rsid w:val="29F97CC3"/>
    <w:rsid w:val="2B2F7CCB"/>
    <w:rsid w:val="2B325279"/>
    <w:rsid w:val="2C130CB3"/>
    <w:rsid w:val="2CCB1B0B"/>
    <w:rsid w:val="2D1B5D17"/>
    <w:rsid w:val="2E536B0E"/>
    <w:rsid w:val="2E9E34CB"/>
    <w:rsid w:val="2EEF76F1"/>
    <w:rsid w:val="2F5640B8"/>
    <w:rsid w:val="2FD2373D"/>
    <w:rsid w:val="31394A63"/>
    <w:rsid w:val="319978BA"/>
    <w:rsid w:val="32B341AB"/>
    <w:rsid w:val="33967355"/>
    <w:rsid w:val="33CA4D39"/>
    <w:rsid w:val="34181B07"/>
    <w:rsid w:val="34A9093D"/>
    <w:rsid w:val="360B0BD4"/>
    <w:rsid w:val="36253BD4"/>
    <w:rsid w:val="366342C3"/>
    <w:rsid w:val="368C5458"/>
    <w:rsid w:val="373756BD"/>
    <w:rsid w:val="38080AFC"/>
    <w:rsid w:val="386E1304"/>
    <w:rsid w:val="38ED6BC1"/>
    <w:rsid w:val="393C5B0F"/>
    <w:rsid w:val="3AF63257"/>
    <w:rsid w:val="3B604739"/>
    <w:rsid w:val="3B70192C"/>
    <w:rsid w:val="3BA44D1B"/>
    <w:rsid w:val="3BF0437B"/>
    <w:rsid w:val="3CAB6F30"/>
    <w:rsid w:val="3D0F0754"/>
    <w:rsid w:val="3E014F0A"/>
    <w:rsid w:val="3E0672BB"/>
    <w:rsid w:val="3E4073AC"/>
    <w:rsid w:val="3E7C7F3A"/>
    <w:rsid w:val="3F1069BC"/>
    <w:rsid w:val="3F1861BC"/>
    <w:rsid w:val="40141A04"/>
    <w:rsid w:val="404506D4"/>
    <w:rsid w:val="40F21C34"/>
    <w:rsid w:val="4166378B"/>
    <w:rsid w:val="41A65EA3"/>
    <w:rsid w:val="436B29C5"/>
    <w:rsid w:val="4444064C"/>
    <w:rsid w:val="44801B2A"/>
    <w:rsid w:val="45371070"/>
    <w:rsid w:val="46111146"/>
    <w:rsid w:val="47033608"/>
    <w:rsid w:val="477C57F9"/>
    <w:rsid w:val="477E17FB"/>
    <w:rsid w:val="48442A15"/>
    <w:rsid w:val="48C869B9"/>
    <w:rsid w:val="48D56DA1"/>
    <w:rsid w:val="48F50D25"/>
    <w:rsid w:val="499D4A80"/>
    <w:rsid w:val="4AEB7516"/>
    <w:rsid w:val="4BD934A4"/>
    <w:rsid w:val="4BED3EAE"/>
    <w:rsid w:val="4C102385"/>
    <w:rsid w:val="4C246517"/>
    <w:rsid w:val="4C8F4A1D"/>
    <w:rsid w:val="4CB751DC"/>
    <w:rsid w:val="4D3A3960"/>
    <w:rsid w:val="4DD20B0C"/>
    <w:rsid w:val="4DEB3CA6"/>
    <w:rsid w:val="4E292F07"/>
    <w:rsid w:val="4E7E4EDA"/>
    <w:rsid w:val="4EBE7A2F"/>
    <w:rsid w:val="4EE807D8"/>
    <w:rsid w:val="4F1103F1"/>
    <w:rsid w:val="5024694A"/>
    <w:rsid w:val="505C37E2"/>
    <w:rsid w:val="5143338A"/>
    <w:rsid w:val="5227499A"/>
    <w:rsid w:val="535C7E27"/>
    <w:rsid w:val="53B71CB1"/>
    <w:rsid w:val="53D0459E"/>
    <w:rsid w:val="552B0F55"/>
    <w:rsid w:val="5574112A"/>
    <w:rsid w:val="55B63368"/>
    <w:rsid w:val="55B800FD"/>
    <w:rsid w:val="55D8044D"/>
    <w:rsid w:val="574A2641"/>
    <w:rsid w:val="577B778A"/>
    <w:rsid w:val="57D61957"/>
    <w:rsid w:val="585F74FA"/>
    <w:rsid w:val="58C71F4B"/>
    <w:rsid w:val="5ACF0E87"/>
    <w:rsid w:val="5B142131"/>
    <w:rsid w:val="5B2D6B16"/>
    <w:rsid w:val="5B6900FF"/>
    <w:rsid w:val="5D394BA9"/>
    <w:rsid w:val="5ECB499B"/>
    <w:rsid w:val="5EEE0B96"/>
    <w:rsid w:val="5F002FAA"/>
    <w:rsid w:val="5F170D63"/>
    <w:rsid w:val="5F4B385F"/>
    <w:rsid w:val="624B5FBC"/>
    <w:rsid w:val="626D7008"/>
    <w:rsid w:val="63035A96"/>
    <w:rsid w:val="63346CC0"/>
    <w:rsid w:val="63AA1258"/>
    <w:rsid w:val="64E54B91"/>
    <w:rsid w:val="64EB0AAB"/>
    <w:rsid w:val="65173B42"/>
    <w:rsid w:val="652362F6"/>
    <w:rsid w:val="654B6A35"/>
    <w:rsid w:val="657A1BE0"/>
    <w:rsid w:val="67216CA3"/>
    <w:rsid w:val="67AA0963"/>
    <w:rsid w:val="67B00136"/>
    <w:rsid w:val="67B204E2"/>
    <w:rsid w:val="68E75D09"/>
    <w:rsid w:val="6A074617"/>
    <w:rsid w:val="6A63480B"/>
    <w:rsid w:val="6BC2757D"/>
    <w:rsid w:val="6C1446DA"/>
    <w:rsid w:val="6CCE0AA0"/>
    <w:rsid w:val="6CE7199A"/>
    <w:rsid w:val="6D5448FD"/>
    <w:rsid w:val="6E7175AA"/>
    <w:rsid w:val="6EB948CF"/>
    <w:rsid w:val="6ED33887"/>
    <w:rsid w:val="70020621"/>
    <w:rsid w:val="70021DA4"/>
    <w:rsid w:val="70323E75"/>
    <w:rsid w:val="711D2FE5"/>
    <w:rsid w:val="714629B6"/>
    <w:rsid w:val="716B7100"/>
    <w:rsid w:val="71886181"/>
    <w:rsid w:val="71AD054D"/>
    <w:rsid w:val="72083A21"/>
    <w:rsid w:val="72C3358F"/>
    <w:rsid w:val="75064250"/>
    <w:rsid w:val="75681CAA"/>
    <w:rsid w:val="76231FA7"/>
    <w:rsid w:val="76496E74"/>
    <w:rsid w:val="7651666D"/>
    <w:rsid w:val="76A04A43"/>
    <w:rsid w:val="76A91911"/>
    <w:rsid w:val="76C058AD"/>
    <w:rsid w:val="77286809"/>
    <w:rsid w:val="774D398D"/>
    <w:rsid w:val="77ED395F"/>
    <w:rsid w:val="78585308"/>
    <w:rsid w:val="78F65E7C"/>
    <w:rsid w:val="7947312D"/>
    <w:rsid w:val="7A0B4F65"/>
    <w:rsid w:val="7A105E95"/>
    <w:rsid w:val="7AAA7A71"/>
    <w:rsid w:val="7AB8699D"/>
    <w:rsid w:val="7B8959A8"/>
    <w:rsid w:val="7C0A0AF2"/>
    <w:rsid w:val="7E57221F"/>
    <w:rsid w:val="7E5A5580"/>
    <w:rsid w:val="7E637DAD"/>
    <w:rsid w:val="7F22510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48"/>
    <w:qFormat/>
    <w:uiPriority w:val="0"/>
    <w:pPr>
      <w:spacing w:before="120"/>
      <w:outlineLvl w:val="2"/>
    </w:pPr>
    <w:rPr>
      <w:sz w:val="28"/>
    </w:rPr>
  </w:style>
  <w:style w:type="paragraph" w:styleId="5">
    <w:name w:val="heading 4"/>
    <w:basedOn w:val="4"/>
    <w:next w:val="1"/>
    <w:link w:val="49"/>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50"/>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51"/>
    <w:qFormat/>
    <w:uiPriority w:val="0"/>
    <w:pPr>
      <w:shd w:val="clear" w:color="auto" w:fill="000080"/>
    </w:pPr>
    <w:rPr>
      <w:rFonts w:ascii="Tahoma" w:hAnsi="Tahoma" w:cs="Tahoma"/>
    </w:rPr>
  </w:style>
  <w:style w:type="paragraph" w:styleId="29">
    <w:name w:val="annotation text"/>
    <w:basedOn w:val="1"/>
    <w:link w:val="52"/>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53"/>
    <w:qFormat/>
    <w:uiPriority w:val="0"/>
    <w:rPr>
      <w:rFonts w:ascii="Tahoma" w:hAnsi="Tahoma" w:cs="Tahoma"/>
      <w:sz w:val="16"/>
      <w:szCs w:val="16"/>
    </w:rPr>
  </w:style>
  <w:style w:type="paragraph" w:styleId="33">
    <w:name w:val="footer"/>
    <w:basedOn w:val="34"/>
    <w:link w:val="55"/>
    <w:qFormat/>
    <w:uiPriority w:val="0"/>
    <w:pPr>
      <w:jc w:val="center"/>
    </w:pPr>
    <w:rPr>
      <w:i/>
    </w:rPr>
  </w:style>
  <w:style w:type="paragraph" w:styleId="34">
    <w:name w:val="header"/>
    <w:link w:val="54"/>
    <w:qFormat/>
    <w:uiPriority w:val="0"/>
    <w:pPr>
      <w:widowControl w:val="0"/>
    </w:pPr>
    <w:rPr>
      <w:rFonts w:ascii="Arial" w:hAnsi="Arial" w:eastAsia="Times New Roman" w:cs="Times New Roman"/>
      <w:b/>
      <w:sz w:val="18"/>
      <w:lang w:val="en-GB" w:eastAsia="en-US" w:bidi="ar-SA"/>
    </w:rPr>
  </w:style>
  <w:style w:type="paragraph" w:styleId="35">
    <w:name w:val="footnote text"/>
    <w:basedOn w:val="1"/>
    <w:link w:val="56"/>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57"/>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qFormat/>
    <w:uiPriority w:val="0"/>
    <w:rPr>
      <w:sz w:val="16"/>
    </w:rPr>
  </w:style>
  <w:style w:type="character" w:styleId="47">
    <w:name w:val="footnote reference"/>
    <w:qFormat/>
    <w:uiPriority w:val="0"/>
    <w:rPr>
      <w:b/>
      <w:position w:val="6"/>
      <w:sz w:val="16"/>
    </w:rPr>
  </w:style>
  <w:style w:type="character" w:customStyle="1" w:styleId="48">
    <w:name w:val="Heading 3 Char"/>
    <w:link w:val="4"/>
    <w:qFormat/>
    <w:uiPriority w:val="0"/>
    <w:rPr>
      <w:rFonts w:ascii="Arial" w:hAnsi="Arial"/>
      <w:sz w:val="28"/>
      <w:lang w:val="en-GB"/>
    </w:rPr>
  </w:style>
  <w:style w:type="character" w:customStyle="1" w:styleId="49">
    <w:name w:val="Heading 4 Char"/>
    <w:link w:val="5"/>
    <w:qFormat/>
    <w:uiPriority w:val="0"/>
    <w:rPr>
      <w:rFonts w:ascii="Arial" w:hAnsi="Arial"/>
      <w:sz w:val="24"/>
      <w:lang w:val="en-GB"/>
    </w:rPr>
  </w:style>
  <w:style w:type="character" w:customStyle="1" w:styleId="50">
    <w:name w:val="Heading 6 Char"/>
    <w:link w:val="7"/>
    <w:qFormat/>
    <w:uiPriority w:val="0"/>
    <w:rPr>
      <w:rFonts w:ascii="Arial" w:hAnsi="Arial"/>
      <w:lang w:val="en-GB"/>
    </w:rPr>
  </w:style>
  <w:style w:type="character" w:customStyle="1" w:styleId="51">
    <w:name w:val="Document Map Char"/>
    <w:link w:val="28"/>
    <w:qFormat/>
    <w:uiPriority w:val="0"/>
    <w:rPr>
      <w:rFonts w:ascii="Tahoma" w:hAnsi="Tahoma" w:cs="Tahoma"/>
      <w:shd w:val="clear" w:color="auto" w:fill="000080"/>
      <w:lang w:val="en-GB"/>
    </w:rPr>
  </w:style>
  <w:style w:type="character" w:customStyle="1" w:styleId="52">
    <w:name w:val="Comment Text Char"/>
    <w:link w:val="29"/>
    <w:qFormat/>
    <w:uiPriority w:val="0"/>
    <w:rPr>
      <w:rFonts w:ascii="Times New Roman" w:hAnsi="Times New Roman"/>
      <w:lang w:val="en-GB"/>
    </w:rPr>
  </w:style>
  <w:style w:type="character" w:customStyle="1" w:styleId="53">
    <w:name w:val="Balloon Text Char"/>
    <w:link w:val="32"/>
    <w:qFormat/>
    <w:uiPriority w:val="0"/>
    <w:rPr>
      <w:rFonts w:ascii="Tahoma" w:hAnsi="Tahoma" w:cs="Tahoma"/>
      <w:sz w:val="16"/>
      <w:szCs w:val="16"/>
      <w:lang w:val="en-GB"/>
    </w:rPr>
  </w:style>
  <w:style w:type="character" w:customStyle="1" w:styleId="54">
    <w:name w:val="Header Char"/>
    <w:link w:val="34"/>
    <w:qFormat/>
    <w:uiPriority w:val="0"/>
    <w:rPr>
      <w:rFonts w:ascii="Arial" w:hAnsi="Arial"/>
      <w:b/>
      <w:sz w:val="18"/>
      <w:lang w:eastAsia="en-US"/>
    </w:rPr>
  </w:style>
  <w:style w:type="character" w:customStyle="1" w:styleId="55">
    <w:name w:val="Footer Char"/>
    <w:link w:val="33"/>
    <w:qFormat/>
    <w:uiPriority w:val="0"/>
    <w:rPr>
      <w:rFonts w:ascii="Arial" w:hAnsi="Arial"/>
      <w:b/>
      <w:i/>
      <w:sz w:val="18"/>
      <w:lang w:val="en-GB"/>
    </w:rPr>
  </w:style>
  <w:style w:type="character" w:customStyle="1" w:styleId="56">
    <w:name w:val="Footnote Text Char"/>
    <w:link w:val="35"/>
    <w:qFormat/>
    <w:uiPriority w:val="0"/>
    <w:rPr>
      <w:rFonts w:ascii="Times New Roman" w:hAnsi="Times New Roman"/>
      <w:sz w:val="16"/>
      <w:lang w:val="en-GB"/>
    </w:rPr>
  </w:style>
  <w:style w:type="character" w:customStyle="1" w:styleId="57">
    <w:name w:val="Comment Subject Char"/>
    <w:link w:val="41"/>
    <w:qFormat/>
    <w:uiPriority w:val="0"/>
    <w:rPr>
      <w:rFonts w:ascii="Times New Roman" w:hAnsi="Times New Roman"/>
      <w:b/>
      <w:bCs/>
      <w:lang w:val="en-GB"/>
    </w:rPr>
  </w:style>
  <w:style w:type="paragraph" w:customStyle="1" w:styleId="5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0">
    <w:name w:val="TT"/>
    <w:basedOn w:val="2"/>
    <w:next w:val="1"/>
    <w:qFormat/>
    <w:uiPriority w:val="0"/>
    <w:pPr>
      <w:outlineLvl w:val="9"/>
    </w:pPr>
  </w:style>
  <w:style w:type="paragraph" w:customStyle="1" w:styleId="61">
    <w:name w:val="TAH"/>
    <w:basedOn w:val="62"/>
    <w:link w:val="66"/>
    <w:qFormat/>
    <w:uiPriority w:val="0"/>
    <w:rPr>
      <w:b/>
    </w:rPr>
  </w:style>
  <w:style w:type="paragraph" w:customStyle="1" w:styleId="62">
    <w:name w:val="TAC"/>
    <w:basedOn w:val="63"/>
    <w:link w:val="65"/>
    <w:qFormat/>
    <w:uiPriority w:val="0"/>
    <w:pPr>
      <w:jc w:val="center"/>
    </w:pPr>
  </w:style>
  <w:style w:type="paragraph" w:customStyle="1" w:styleId="63">
    <w:name w:val="TAL"/>
    <w:basedOn w:val="1"/>
    <w:link w:val="64"/>
    <w:qFormat/>
    <w:uiPriority w:val="0"/>
    <w:pPr>
      <w:keepNext/>
      <w:keepLines/>
      <w:spacing w:after="0"/>
    </w:pPr>
    <w:rPr>
      <w:rFonts w:ascii="Arial" w:hAnsi="Arial"/>
      <w:sz w:val="18"/>
    </w:rPr>
  </w:style>
  <w:style w:type="character" w:customStyle="1" w:styleId="64">
    <w:name w:val="TAL Char"/>
    <w:link w:val="63"/>
    <w:qFormat/>
    <w:uiPriority w:val="0"/>
    <w:rPr>
      <w:rFonts w:ascii="Arial" w:hAnsi="Arial"/>
      <w:sz w:val="18"/>
      <w:lang w:val="en-GB"/>
    </w:rPr>
  </w:style>
  <w:style w:type="character" w:customStyle="1" w:styleId="65">
    <w:name w:val="TAC Char"/>
    <w:link w:val="62"/>
    <w:qFormat/>
    <w:uiPriority w:val="0"/>
    <w:rPr>
      <w:rFonts w:ascii="Arial" w:hAnsi="Arial"/>
      <w:sz w:val="18"/>
      <w:lang w:val="en-GB"/>
    </w:rPr>
  </w:style>
  <w:style w:type="character" w:customStyle="1" w:styleId="66">
    <w:name w:val="TAH Char"/>
    <w:link w:val="61"/>
    <w:qFormat/>
    <w:uiPriority w:val="0"/>
    <w:rPr>
      <w:rFonts w:ascii="Arial" w:hAnsi="Arial"/>
      <w:b/>
      <w:sz w:val="18"/>
      <w:lang w:val="en-GB"/>
    </w:rPr>
  </w:style>
  <w:style w:type="paragraph" w:customStyle="1" w:styleId="67">
    <w:name w:val="TF"/>
    <w:basedOn w:val="68"/>
    <w:link w:val="70"/>
    <w:qFormat/>
    <w:uiPriority w:val="0"/>
    <w:pPr>
      <w:keepNext w:val="0"/>
      <w:spacing w:before="0" w:after="240"/>
    </w:pPr>
  </w:style>
  <w:style w:type="paragraph" w:customStyle="1" w:styleId="68">
    <w:name w:val="TH"/>
    <w:basedOn w:val="1"/>
    <w:link w:val="69"/>
    <w:qFormat/>
    <w:uiPriority w:val="0"/>
    <w:pPr>
      <w:keepNext/>
      <w:keepLines/>
      <w:spacing w:before="60"/>
      <w:jc w:val="center"/>
    </w:pPr>
    <w:rPr>
      <w:rFonts w:ascii="Arial" w:hAnsi="Arial"/>
      <w:b/>
    </w:rPr>
  </w:style>
  <w:style w:type="character" w:customStyle="1" w:styleId="69">
    <w:name w:val="TH Char"/>
    <w:link w:val="68"/>
    <w:qFormat/>
    <w:uiPriority w:val="0"/>
    <w:rPr>
      <w:rFonts w:ascii="Arial" w:hAnsi="Arial"/>
      <w:b/>
      <w:lang w:val="en-GB"/>
    </w:rPr>
  </w:style>
  <w:style w:type="character" w:customStyle="1" w:styleId="70">
    <w:name w:val="TF Char"/>
    <w:link w:val="67"/>
    <w:qFormat/>
    <w:uiPriority w:val="0"/>
    <w:rPr>
      <w:rFonts w:ascii="Arial" w:hAnsi="Arial"/>
      <w:b/>
      <w:lang w:val="en-GB"/>
    </w:rPr>
  </w:style>
  <w:style w:type="paragraph" w:customStyle="1" w:styleId="71">
    <w:name w:val="NO"/>
    <w:basedOn w:val="1"/>
    <w:link w:val="72"/>
    <w:qFormat/>
    <w:uiPriority w:val="0"/>
    <w:pPr>
      <w:keepLines/>
      <w:ind w:left="1135" w:hanging="851"/>
    </w:pPr>
  </w:style>
  <w:style w:type="character" w:customStyle="1" w:styleId="72">
    <w:name w:val="NO Char"/>
    <w:link w:val="71"/>
    <w:qFormat/>
    <w:uiPriority w:val="0"/>
    <w:rPr>
      <w:rFonts w:ascii="Times New Roman" w:hAnsi="Times New Roman"/>
      <w:lang w:val="en-GB"/>
    </w:rPr>
  </w:style>
  <w:style w:type="paragraph" w:customStyle="1" w:styleId="73">
    <w:name w:val="EX"/>
    <w:basedOn w:val="1"/>
    <w:link w:val="74"/>
    <w:qFormat/>
    <w:uiPriority w:val="0"/>
    <w:pPr>
      <w:keepLines/>
      <w:ind w:left="1702" w:hanging="1418"/>
    </w:pPr>
  </w:style>
  <w:style w:type="character" w:customStyle="1" w:styleId="74">
    <w:name w:val="EX Char"/>
    <w:link w:val="73"/>
    <w:qFormat/>
    <w:locked/>
    <w:uiPriority w:val="0"/>
    <w:rPr>
      <w:rFonts w:ascii="Times New Roman" w:hAnsi="Times New Roman"/>
      <w:lang w:val="en-GB"/>
    </w:rPr>
  </w:style>
  <w:style w:type="paragraph" w:customStyle="1" w:styleId="75">
    <w:name w:val="FP"/>
    <w:basedOn w:val="1"/>
    <w:qFormat/>
    <w:uiPriority w:val="0"/>
    <w:pPr>
      <w:spacing w:after="0"/>
    </w:pPr>
  </w:style>
  <w:style w:type="paragraph" w:customStyle="1" w:styleId="7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77">
    <w:name w:val="NW"/>
    <w:basedOn w:val="71"/>
    <w:qFormat/>
    <w:uiPriority w:val="0"/>
    <w:pPr>
      <w:spacing w:after="0"/>
    </w:pPr>
  </w:style>
  <w:style w:type="paragraph" w:customStyle="1" w:styleId="78">
    <w:name w:val="EW"/>
    <w:basedOn w:val="73"/>
    <w:qFormat/>
    <w:uiPriority w:val="0"/>
    <w:pPr>
      <w:spacing w:after="0"/>
    </w:pPr>
  </w:style>
  <w:style w:type="paragraph" w:customStyle="1" w:styleId="79">
    <w:name w:val="EQ"/>
    <w:basedOn w:val="1"/>
    <w:next w:val="1"/>
    <w:qFormat/>
    <w:uiPriority w:val="0"/>
    <w:pPr>
      <w:keepLines/>
      <w:tabs>
        <w:tab w:val="center" w:pos="4536"/>
        <w:tab w:val="right" w:pos="9072"/>
      </w:tabs>
    </w:pPr>
  </w:style>
  <w:style w:type="paragraph" w:customStyle="1" w:styleId="80">
    <w:name w:val="NF"/>
    <w:basedOn w:val="71"/>
    <w:qFormat/>
    <w:uiPriority w:val="0"/>
    <w:pPr>
      <w:keepNext/>
      <w:spacing w:after="0"/>
    </w:pPr>
    <w:rPr>
      <w:rFonts w:ascii="Arial" w:hAnsi="Arial"/>
      <w:sz w:val="18"/>
    </w:rPr>
  </w:style>
  <w:style w:type="paragraph" w:customStyle="1" w:styleId="81">
    <w:name w:val="PL"/>
    <w:link w:val="8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character" w:customStyle="1" w:styleId="82">
    <w:name w:val="PL Char"/>
    <w:link w:val="81"/>
    <w:qFormat/>
    <w:uiPriority w:val="0"/>
    <w:rPr>
      <w:rFonts w:ascii="Courier New" w:hAnsi="Courier New"/>
      <w:sz w:val="16"/>
      <w:lang w:val="en-GB"/>
    </w:rPr>
  </w:style>
  <w:style w:type="paragraph" w:customStyle="1" w:styleId="83">
    <w:name w:val="TAR"/>
    <w:basedOn w:val="63"/>
    <w:qFormat/>
    <w:uiPriority w:val="0"/>
    <w:pPr>
      <w:jc w:val="right"/>
    </w:pPr>
  </w:style>
  <w:style w:type="paragraph" w:customStyle="1" w:styleId="84">
    <w:name w:val="TAN"/>
    <w:basedOn w:val="63"/>
    <w:qFormat/>
    <w:uiPriority w:val="0"/>
    <w:pPr>
      <w:ind w:left="851" w:hanging="851"/>
    </w:pPr>
  </w:style>
  <w:style w:type="paragraph" w:customStyle="1" w:styleId="8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8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8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89">
    <w:name w:val="ZV"/>
    <w:basedOn w:val="88"/>
    <w:qFormat/>
    <w:uiPriority w:val="0"/>
    <w:pPr>
      <w:framePr w:y="16161"/>
    </w:pPr>
  </w:style>
  <w:style w:type="character" w:customStyle="1" w:styleId="90">
    <w:name w:val="ZGSM"/>
    <w:qFormat/>
    <w:uiPriority w:val="0"/>
  </w:style>
  <w:style w:type="paragraph" w:customStyle="1" w:styleId="9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2">
    <w:name w:val="Editor's Note"/>
    <w:basedOn w:val="71"/>
    <w:link w:val="93"/>
    <w:qFormat/>
    <w:uiPriority w:val="0"/>
    <w:rPr>
      <w:color w:val="FF0000"/>
    </w:rPr>
  </w:style>
  <w:style w:type="character" w:customStyle="1" w:styleId="93">
    <w:name w:val="Editor's Note Char"/>
    <w:link w:val="92"/>
    <w:qFormat/>
    <w:uiPriority w:val="0"/>
    <w:rPr>
      <w:rFonts w:ascii="Times New Roman" w:hAnsi="Times New Roman"/>
      <w:color w:val="FF0000"/>
      <w:lang w:val="en-GB"/>
    </w:rPr>
  </w:style>
  <w:style w:type="paragraph" w:customStyle="1" w:styleId="94">
    <w:name w:val="B1"/>
    <w:basedOn w:val="14"/>
    <w:link w:val="95"/>
    <w:qFormat/>
    <w:uiPriority w:val="0"/>
  </w:style>
  <w:style w:type="character" w:customStyle="1" w:styleId="95">
    <w:name w:val="B1 Char"/>
    <w:link w:val="94"/>
    <w:qFormat/>
    <w:uiPriority w:val="0"/>
    <w:rPr>
      <w:rFonts w:ascii="Times New Roman" w:hAnsi="Times New Roman"/>
      <w:lang w:val="en-GB"/>
    </w:rPr>
  </w:style>
  <w:style w:type="paragraph" w:customStyle="1" w:styleId="96">
    <w:name w:val="B2"/>
    <w:basedOn w:val="13"/>
    <w:link w:val="97"/>
    <w:qFormat/>
    <w:uiPriority w:val="0"/>
  </w:style>
  <w:style w:type="character" w:customStyle="1" w:styleId="97">
    <w:name w:val="B2 Char"/>
    <w:link w:val="96"/>
    <w:qFormat/>
    <w:uiPriority w:val="0"/>
    <w:rPr>
      <w:rFonts w:ascii="Times New Roman" w:hAnsi="Times New Roman"/>
      <w:lang w:val="en-GB"/>
    </w:rPr>
  </w:style>
  <w:style w:type="paragraph" w:customStyle="1" w:styleId="98">
    <w:name w:val="B3"/>
    <w:basedOn w:val="12"/>
    <w:link w:val="99"/>
    <w:qFormat/>
    <w:uiPriority w:val="0"/>
  </w:style>
  <w:style w:type="character" w:customStyle="1" w:styleId="99">
    <w:name w:val="B3 Char"/>
    <w:link w:val="98"/>
    <w:qFormat/>
    <w:uiPriority w:val="0"/>
    <w:rPr>
      <w:rFonts w:ascii="Times New Roman" w:hAnsi="Times New Roman"/>
      <w:lang w:val="en-GB"/>
    </w:rPr>
  </w:style>
  <w:style w:type="paragraph" w:customStyle="1" w:styleId="100">
    <w:name w:val="B4"/>
    <w:basedOn w:val="37"/>
    <w:qFormat/>
    <w:uiPriority w:val="0"/>
  </w:style>
  <w:style w:type="paragraph" w:customStyle="1" w:styleId="101">
    <w:name w:val="B5"/>
    <w:basedOn w:val="36"/>
    <w:qFormat/>
    <w:uiPriority w:val="0"/>
  </w:style>
  <w:style w:type="paragraph" w:customStyle="1" w:styleId="102">
    <w:name w:val="ZTD"/>
    <w:basedOn w:val="86"/>
    <w:qFormat/>
    <w:uiPriority w:val="0"/>
    <w:pPr>
      <w:framePr w:hRule="auto" w:y="852"/>
    </w:pPr>
    <w:rPr>
      <w:i w:val="0"/>
      <w:sz w:val="40"/>
    </w:rPr>
  </w:style>
  <w:style w:type="paragraph" w:customStyle="1" w:styleId="103">
    <w:name w:val="CR Cover Page"/>
    <w:qFormat/>
    <w:uiPriority w:val="0"/>
    <w:pPr>
      <w:spacing w:after="120"/>
    </w:pPr>
    <w:rPr>
      <w:rFonts w:ascii="Arial" w:hAnsi="Arial" w:eastAsia="Times New Roman" w:cs="Times New Roman"/>
      <w:lang w:val="en-GB" w:eastAsia="en-US" w:bidi="ar-SA"/>
    </w:rPr>
  </w:style>
  <w:style w:type="paragraph" w:customStyle="1" w:styleId="104">
    <w:name w:val="tdoc-header"/>
    <w:qFormat/>
    <w:uiPriority w:val="0"/>
    <w:rPr>
      <w:rFonts w:ascii="Arial" w:hAnsi="Arial" w:eastAsia="Times New Roman" w:cs="Times New Roman"/>
      <w:sz w:val="24"/>
      <w:lang w:val="en-GB" w:eastAsia="en-US" w:bidi="ar-SA"/>
    </w:rPr>
  </w:style>
  <w:style w:type="paragraph" w:customStyle="1" w:styleId="105">
    <w:name w:val="First Change"/>
    <w:basedOn w:val="1"/>
    <w:qFormat/>
    <w:uiPriority w:val="0"/>
    <w:pPr>
      <w:jc w:val="center"/>
    </w:pPr>
    <w:rPr>
      <w:color w:val="FF0000"/>
    </w:rPr>
  </w:style>
  <w:style w:type="paragraph" w:customStyle="1" w:styleId="106">
    <w:name w:val="a"/>
    <w:basedOn w:val="103"/>
    <w:qFormat/>
    <w:uiPriority w:val="0"/>
    <w:pPr>
      <w:tabs>
        <w:tab w:val="left" w:pos="1985"/>
      </w:tabs>
    </w:pPr>
    <w:rPr>
      <w:rFonts w:cs="Arial"/>
      <w:b/>
      <w:bCs/>
      <w:color w:val="000000"/>
      <w:sz w:val="24"/>
      <w:szCs w:val="24"/>
      <w:lang w:val="en-US"/>
    </w:rPr>
  </w:style>
  <w:style w:type="paragraph" w:customStyle="1" w:styleId="107">
    <w:name w:val="Discussion"/>
    <w:basedOn w:val="1"/>
    <w:qFormat/>
    <w:uiPriority w:val="0"/>
    <w:rPr>
      <w:rFonts w:ascii="Arial" w:hAnsi="Arial" w:cs="Arial"/>
    </w:rPr>
  </w:style>
  <w:style w:type="paragraph" w:customStyle="1" w:styleId="108">
    <w:name w:val="TAJ"/>
    <w:basedOn w:val="68"/>
    <w:qFormat/>
    <w:uiPriority w:val="0"/>
    <w:pPr>
      <w:overflowPunct w:val="0"/>
      <w:autoSpaceDE w:val="0"/>
      <w:autoSpaceDN w:val="0"/>
      <w:adjustRightInd w:val="0"/>
      <w:textAlignment w:val="baseline"/>
    </w:pPr>
  </w:style>
  <w:style w:type="paragraph" w:customStyle="1" w:styleId="109">
    <w:name w:val="Guidance"/>
    <w:basedOn w:val="1"/>
    <w:qFormat/>
    <w:uiPriority w:val="0"/>
    <w:pPr>
      <w:overflowPunct w:val="0"/>
      <w:autoSpaceDE w:val="0"/>
      <w:autoSpaceDN w:val="0"/>
      <w:adjustRightInd w:val="0"/>
      <w:textAlignment w:val="baseline"/>
    </w:pPr>
    <w:rPr>
      <w:i/>
      <w:color w:val="0000FF"/>
    </w:rPr>
  </w:style>
  <w:style w:type="paragraph" w:customStyle="1" w:styleId="110">
    <w:name w:val="Revision"/>
    <w:semiHidden/>
    <w:qFormat/>
    <w:uiPriority w:val="99"/>
    <w:rPr>
      <w:rFonts w:ascii="Times New Roman" w:hAnsi="Times New Roman" w:eastAsia="Times New Roman" w:cs="Times New Roman"/>
      <w:lang w:val="en-GB" w:eastAsia="en-US" w:bidi="ar-SA"/>
    </w:rPr>
  </w:style>
  <w:style w:type="character" w:customStyle="1" w:styleId="111">
    <w:name w:val="Mention"/>
    <w:unhideWhenUsed/>
    <w:qFormat/>
    <w:uiPriority w:val="99"/>
    <w:rPr>
      <w:color w:val="2B579A"/>
      <w:shd w:val="clear" w:color="auto" w:fill="E6E6E6"/>
    </w:rPr>
  </w:style>
  <w:style w:type="paragraph" w:customStyle="1" w:styleId="112">
    <w:name w:val="Discusson B1"/>
    <w:basedOn w:val="107"/>
    <w:qFormat/>
    <w:uiPriority w:val="0"/>
    <w:pPr>
      <w:ind w:left="567" w:hanging="283"/>
    </w:pPr>
  </w:style>
  <w:style w:type="paragraph" w:customStyle="1" w:styleId="113">
    <w:name w:val="Discussion B2"/>
    <w:basedOn w:val="112"/>
    <w:qFormat/>
    <w:uiPriority w:val="0"/>
    <w:pPr>
      <w:ind w:left="851"/>
    </w:pPr>
  </w:style>
  <w:style w:type="character" w:customStyle="1" w:styleId="114">
    <w:name w:val="Unresolved Mention"/>
    <w:basedOn w:val="43"/>
    <w:unhideWhenUsed/>
    <w:qFormat/>
    <w:uiPriority w:val="99"/>
    <w:rPr>
      <w:color w:val="605E5C"/>
      <w:shd w:val="clear" w:color="auto" w:fill="E1DFDD"/>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260</Words>
  <Characters>1487</Characters>
  <Lines>12</Lines>
  <Paragraphs>3</Paragraphs>
  <TotalTime>15</TotalTime>
  <ScaleCrop>false</ScaleCrop>
  <LinksUpToDate>false</LinksUpToDate>
  <CharactersWithSpaces>1744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2023-05-25T08:03:00Z</dcterms:created>
  <dc:creator>Michael Sanders, John M Meredith</dc:creator>
  <cp:lastModifiedBy>ZTELYS</cp:lastModifiedBy>
  <cp:lastPrinted>2411-12-31T23:00:00Z</cp:lastPrinted>
  <dcterms:modified xsi:type="dcterms:W3CDTF">2023-08-11T05:57:05Z</dcterms:modified>
  <dc:title>Template for Text Proposal - RAN3 Meeting no XXX</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